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99ACA" w14:textId="77777777" w:rsidR="00166700" w:rsidRPr="008710EE" w:rsidRDefault="00166700" w:rsidP="004F299F">
      <w:pPr>
        <w:widowControl w:val="0"/>
        <w:autoSpaceDE w:val="0"/>
        <w:autoSpaceDN w:val="0"/>
        <w:adjustRightInd w:val="0"/>
        <w:jc w:val="center"/>
        <w:outlineLvl w:val="0"/>
        <w:rPr>
          <w:rFonts w:ascii="Calibri" w:hAnsi="Calibri" w:cs="Times New Roman"/>
          <w:bCs/>
          <w:color w:val="000000"/>
        </w:rPr>
      </w:pPr>
      <w:r w:rsidRPr="008710EE">
        <w:rPr>
          <w:rFonts w:ascii="Calibri" w:hAnsi="Calibri" w:cs="Times New Roman"/>
          <w:bCs/>
          <w:color w:val="000000"/>
        </w:rPr>
        <w:t>BEFORE THE</w:t>
      </w:r>
    </w:p>
    <w:p w14:paraId="40643005" w14:textId="77777777" w:rsidR="00166700" w:rsidRPr="008710EE" w:rsidRDefault="00166700" w:rsidP="004F299F">
      <w:pPr>
        <w:widowControl w:val="0"/>
        <w:autoSpaceDE w:val="0"/>
        <w:autoSpaceDN w:val="0"/>
        <w:adjustRightInd w:val="0"/>
        <w:jc w:val="center"/>
        <w:outlineLvl w:val="0"/>
        <w:rPr>
          <w:rFonts w:ascii="Calibri" w:hAnsi="Calibri" w:cs="Times New Roman"/>
          <w:bCs/>
          <w:color w:val="000000"/>
        </w:rPr>
      </w:pPr>
      <w:r w:rsidRPr="008710EE">
        <w:rPr>
          <w:rFonts w:ascii="Calibri" w:hAnsi="Calibri" w:cs="Times New Roman"/>
          <w:bCs/>
          <w:color w:val="000000"/>
        </w:rPr>
        <w:t>DEPARTMENT OF COMMERCE</w:t>
      </w:r>
    </w:p>
    <w:p w14:paraId="5E92F460" w14:textId="77777777" w:rsidR="00166700" w:rsidRPr="008710EE" w:rsidRDefault="00166700" w:rsidP="004F2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Calibri" w:hAnsi="Calibri" w:cs="Courier"/>
          <w:caps/>
        </w:rPr>
      </w:pPr>
      <w:r w:rsidRPr="008710EE">
        <w:rPr>
          <w:rFonts w:ascii="Calibri" w:hAnsi="Calibri" w:cs="Courier"/>
          <w:caps/>
        </w:rPr>
        <w:t>National Telecommunications and Information Administration</w:t>
      </w:r>
    </w:p>
    <w:p w14:paraId="46B5E86E" w14:textId="77777777" w:rsidR="00166700" w:rsidRPr="008710EE" w:rsidRDefault="00166700" w:rsidP="00166700">
      <w:pPr>
        <w:pStyle w:val="HTMLPreformatted"/>
        <w:rPr>
          <w:rFonts w:ascii="Calibri" w:hAnsi="Calibri"/>
          <w:sz w:val="24"/>
          <w:szCs w:val="24"/>
        </w:rPr>
      </w:pPr>
    </w:p>
    <w:p w14:paraId="4BA2B0D5" w14:textId="77777777" w:rsidR="00166700" w:rsidRPr="008710EE" w:rsidRDefault="00166700" w:rsidP="004F299F">
      <w:pPr>
        <w:pStyle w:val="HTMLPreformatted"/>
        <w:jc w:val="center"/>
        <w:outlineLvl w:val="0"/>
        <w:rPr>
          <w:rFonts w:ascii="Calibri" w:hAnsi="Calibri"/>
          <w:sz w:val="24"/>
          <w:szCs w:val="24"/>
        </w:rPr>
      </w:pPr>
      <w:r w:rsidRPr="008710EE">
        <w:rPr>
          <w:rFonts w:ascii="Calibri" w:hAnsi="Calibri"/>
          <w:sz w:val="24"/>
          <w:szCs w:val="24"/>
        </w:rPr>
        <w:t>Docket No. 120214135-2135-01</w:t>
      </w:r>
    </w:p>
    <w:p w14:paraId="3B66B24C" w14:textId="77777777" w:rsidR="00166700" w:rsidRPr="008710EE" w:rsidRDefault="00166700" w:rsidP="004F299F">
      <w:pPr>
        <w:pStyle w:val="HTMLPreformatted"/>
        <w:jc w:val="center"/>
        <w:outlineLvl w:val="0"/>
        <w:rPr>
          <w:rFonts w:ascii="Calibri" w:hAnsi="Calibri"/>
          <w:sz w:val="24"/>
          <w:szCs w:val="24"/>
        </w:rPr>
      </w:pPr>
      <w:r w:rsidRPr="008710EE">
        <w:rPr>
          <w:rFonts w:ascii="Calibri" w:hAnsi="Calibri"/>
          <w:sz w:val="24"/>
          <w:szCs w:val="24"/>
        </w:rPr>
        <w:t>Multistakeholder Process To Devel</w:t>
      </w:r>
      <w:r w:rsidR="00F07734" w:rsidRPr="008710EE">
        <w:rPr>
          <w:rFonts w:ascii="Calibri" w:hAnsi="Calibri"/>
          <w:sz w:val="24"/>
          <w:szCs w:val="24"/>
        </w:rPr>
        <w:t xml:space="preserve">op Consumer Data Privacy Codes </w:t>
      </w:r>
      <w:r w:rsidRPr="008710EE">
        <w:rPr>
          <w:rFonts w:ascii="Calibri" w:hAnsi="Calibri"/>
          <w:sz w:val="24"/>
          <w:szCs w:val="24"/>
        </w:rPr>
        <w:t>of Conduct</w:t>
      </w:r>
    </w:p>
    <w:p w14:paraId="6DD2DC0F" w14:textId="77777777" w:rsidR="00166700" w:rsidRPr="008710EE" w:rsidRDefault="00166700" w:rsidP="00166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ourier"/>
        </w:rPr>
      </w:pPr>
    </w:p>
    <w:p w14:paraId="4D510C1B" w14:textId="77777777" w:rsidR="00166700" w:rsidRPr="008710EE" w:rsidRDefault="00166700" w:rsidP="004F299F">
      <w:pPr>
        <w:widowControl w:val="0"/>
        <w:autoSpaceDE w:val="0"/>
        <w:autoSpaceDN w:val="0"/>
        <w:adjustRightInd w:val="0"/>
        <w:jc w:val="center"/>
        <w:outlineLvl w:val="0"/>
        <w:rPr>
          <w:rFonts w:ascii="Calibri" w:hAnsi="Calibri" w:cs="Times New Roman"/>
          <w:color w:val="000000"/>
        </w:rPr>
      </w:pPr>
      <w:r w:rsidRPr="008710EE">
        <w:rPr>
          <w:rFonts w:ascii="Calibri" w:hAnsi="Calibri" w:cs="Times New Roman"/>
          <w:color w:val="000000"/>
        </w:rPr>
        <w:t>Request for Comments</w:t>
      </w:r>
    </w:p>
    <w:p w14:paraId="394A4DF0" w14:textId="77777777" w:rsidR="00166700" w:rsidRPr="008710EE" w:rsidRDefault="002A4E26" w:rsidP="002A4E26">
      <w:pPr>
        <w:widowControl w:val="0"/>
        <w:autoSpaceDE w:val="0"/>
        <w:autoSpaceDN w:val="0"/>
        <w:adjustRightInd w:val="0"/>
        <w:rPr>
          <w:rFonts w:ascii="Calibri" w:hAnsi="Calibri" w:cs="Times New Roman"/>
          <w:color w:val="000000"/>
        </w:rPr>
      </w:pPr>
      <w:r w:rsidRPr="008710EE">
        <w:rPr>
          <w:rFonts w:ascii="Calibri" w:hAnsi="Calibri" w:cs="Times New Roman"/>
          <w:color w:val="000000"/>
        </w:rPr>
        <w:t>________________________________________________________________________</w:t>
      </w:r>
    </w:p>
    <w:p w14:paraId="729CB9C4" w14:textId="77777777" w:rsidR="00166700" w:rsidRPr="008710EE" w:rsidRDefault="00166700" w:rsidP="004F299F">
      <w:pPr>
        <w:widowControl w:val="0"/>
        <w:autoSpaceDE w:val="0"/>
        <w:autoSpaceDN w:val="0"/>
        <w:adjustRightInd w:val="0"/>
        <w:jc w:val="center"/>
        <w:outlineLvl w:val="0"/>
        <w:rPr>
          <w:rFonts w:ascii="Calibri" w:hAnsi="Calibri" w:cs="Times New Roman"/>
          <w:color w:val="000000"/>
        </w:rPr>
      </w:pPr>
      <w:r w:rsidRPr="008710EE">
        <w:rPr>
          <w:rFonts w:ascii="Calibri" w:hAnsi="Calibri" w:cs="Times New Roman"/>
          <w:color w:val="000000"/>
        </w:rPr>
        <w:t>COMMENTS OF</w:t>
      </w:r>
    </w:p>
    <w:p w14:paraId="018F7C48" w14:textId="77777777" w:rsidR="00166700" w:rsidRPr="008710EE" w:rsidRDefault="00166700" w:rsidP="00166700">
      <w:pPr>
        <w:widowControl w:val="0"/>
        <w:autoSpaceDE w:val="0"/>
        <w:autoSpaceDN w:val="0"/>
        <w:adjustRightInd w:val="0"/>
        <w:jc w:val="center"/>
        <w:rPr>
          <w:rFonts w:ascii="Calibri" w:hAnsi="Calibri" w:cs="Times New Roman"/>
          <w:color w:val="000000"/>
        </w:rPr>
      </w:pPr>
      <w:r w:rsidRPr="008710EE">
        <w:rPr>
          <w:rFonts w:ascii="Calibri" w:hAnsi="Calibri" w:cs="Times New Roman"/>
          <w:color w:val="000000"/>
        </w:rPr>
        <w:t>PROFESSOR IRA RUBINSTEIN, NEW YORK UNIVERSITY SCHOOL OF LAW</w:t>
      </w:r>
    </w:p>
    <w:p w14:paraId="789F952B" w14:textId="77777777" w:rsidR="00166700" w:rsidRPr="008710EE" w:rsidRDefault="00166700" w:rsidP="00166700">
      <w:pPr>
        <w:widowControl w:val="0"/>
        <w:autoSpaceDE w:val="0"/>
        <w:autoSpaceDN w:val="0"/>
        <w:adjustRightInd w:val="0"/>
        <w:jc w:val="center"/>
        <w:rPr>
          <w:rFonts w:ascii="Calibri" w:hAnsi="Calibri" w:cs="Times New Roman"/>
          <w:color w:val="000000"/>
        </w:rPr>
      </w:pPr>
      <w:r w:rsidRPr="008710EE">
        <w:rPr>
          <w:rFonts w:ascii="Calibri" w:hAnsi="Calibri" w:cs="Times New Roman"/>
          <w:color w:val="000000"/>
        </w:rPr>
        <w:t>AND</w:t>
      </w:r>
    </w:p>
    <w:p w14:paraId="1D2A899C" w14:textId="77777777" w:rsidR="00166700" w:rsidRPr="008710EE" w:rsidRDefault="00166700" w:rsidP="00166700">
      <w:pPr>
        <w:widowControl w:val="0"/>
        <w:pBdr>
          <w:bottom w:val="single" w:sz="12" w:space="1" w:color="auto"/>
        </w:pBdr>
        <w:autoSpaceDE w:val="0"/>
        <w:autoSpaceDN w:val="0"/>
        <w:adjustRightInd w:val="0"/>
        <w:jc w:val="center"/>
        <w:rPr>
          <w:rFonts w:ascii="Calibri" w:hAnsi="Calibri" w:cs="Times New Roman"/>
          <w:color w:val="000000"/>
        </w:rPr>
      </w:pPr>
      <w:r w:rsidRPr="008710EE">
        <w:rPr>
          <w:rFonts w:ascii="Calibri" w:hAnsi="Calibri" w:cs="Times New Roman"/>
          <w:color w:val="000000"/>
        </w:rPr>
        <w:t>PROFESSOR DENNIS HIRSCH, CAPITAL UNIVERSITY LAW SCHOOL</w:t>
      </w:r>
    </w:p>
    <w:p w14:paraId="03EDF5C6" w14:textId="77777777" w:rsidR="002A4E26" w:rsidRPr="008710EE" w:rsidRDefault="002A4E26" w:rsidP="00166700">
      <w:pPr>
        <w:widowControl w:val="0"/>
        <w:pBdr>
          <w:bottom w:val="single" w:sz="12" w:space="1" w:color="auto"/>
        </w:pBdr>
        <w:autoSpaceDE w:val="0"/>
        <w:autoSpaceDN w:val="0"/>
        <w:adjustRightInd w:val="0"/>
        <w:jc w:val="center"/>
        <w:rPr>
          <w:rFonts w:ascii="Calibri" w:hAnsi="Calibri" w:cs="Times New Roman"/>
          <w:color w:val="000000"/>
        </w:rPr>
      </w:pPr>
    </w:p>
    <w:p w14:paraId="5AFA6713" w14:textId="77777777" w:rsidR="002A4E26" w:rsidRPr="008710EE" w:rsidRDefault="002A4E26" w:rsidP="00166700">
      <w:pPr>
        <w:widowControl w:val="0"/>
        <w:autoSpaceDE w:val="0"/>
        <w:autoSpaceDN w:val="0"/>
        <w:adjustRightInd w:val="0"/>
        <w:jc w:val="center"/>
        <w:rPr>
          <w:rFonts w:ascii="Calibri" w:hAnsi="Calibri" w:cs="Times New Roman"/>
          <w:color w:val="000000"/>
        </w:rPr>
      </w:pPr>
    </w:p>
    <w:p w14:paraId="53511BF1" w14:textId="77777777" w:rsidR="00166700" w:rsidRPr="008710EE" w:rsidRDefault="00166700" w:rsidP="004F299F">
      <w:pPr>
        <w:widowControl w:val="0"/>
        <w:autoSpaceDE w:val="0"/>
        <w:autoSpaceDN w:val="0"/>
        <w:adjustRightInd w:val="0"/>
        <w:outlineLvl w:val="0"/>
        <w:rPr>
          <w:rFonts w:ascii="Calibri" w:hAnsi="Calibri" w:cs="Times New Roman"/>
          <w:color w:val="000000"/>
        </w:rPr>
      </w:pPr>
      <w:r w:rsidRPr="008710EE">
        <w:rPr>
          <w:rFonts w:ascii="Calibri" w:hAnsi="Calibri" w:cs="Times New Roman"/>
          <w:color w:val="000000"/>
        </w:rPr>
        <w:t>Professor Ira Rubinstein</w:t>
      </w:r>
    </w:p>
    <w:p w14:paraId="69A9D6CC" w14:textId="77777777" w:rsidR="00166700" w:rsidRPr="008710EE" w:rsidRDefault="00166700" w:rsidP="00166700">
      <w:pPr>
        <w:widowControl w:val="0"/>
        <w:autoSpaceDE w:val="0"/>
        <w:autoSpaceDN w:val="0"/>
        <w:adjustRightInd w:val="0"/>
        <w:rPr>
          <w:rFonts w:ascii="Calibri" w:hAnsi="Calibri" w:cs="Times New Roman"/>
          <w:color w:val="000000"/>
        </w:rPr>
      </w:pPr>
      <w:r w:rsidRPr="008710EE">
        <w:rPr>
          <w:rFonts w:ascii="Calibri" w:hAnsi="Calibri" w:cs="Times New Roman"/>
          <w:color w:val="000000"/>
        </w:rPr>
        <w:t>New York University School of Law</w:t>
      </w:r>
    </w:p>
    <w:p w14:paraId="33A23FAE" w14:textId="77777777" w:rsidR="00166700" w:rsidRPr="008710EE" w:rsidRDefault="00166700" w:rsidP="00166700">
      <w:pPr>
        <w:widowControl w:val="0"/>
        <w:autoSpaceDE w:val="0"/>
        <w:autoSpaceDN w:val="0"/>
        <w:adjustRightInd w:val="0"/>
        <w:rPr>
          <w:rFonts w:ascii="Calibri" w:hAnsi="Calibri" w:cs="Times New Roman"/>
          <w:color w:val="000000"/>
        </w:rPr>
      </w:pPr>
      <w:r w:rsidRPr="008710EE">
        <w:rPr>
          <w:rFonts w:ascii="Calibri" w:hAnsi="Calibri" w:cs="Times New Roman"/>
          <w:color w:val="000000"/>
        </w:rPr>
        <w:t>40 Washington Sq. South—Ro</w:t>
      </w:r>
      <w:r w:rsidR="000D7F41" w:rsidRPr="008710EE">
        <w:rPr>
          <w:rFonts w:ascii="Calibri" w:hAnsi="Calibri" w:cs="Times New Roman"/>
          <w:color w:val="000000"/>
        </w:rPr>
        <w:t>om 330B</w:t>
      </w:r>
    </w:p>
    <w:p w14:paraId="7271BB71" w14:textId="77777777" w:rsidR="00166700" w:rsidRPr="008710EE" w:rsidRDefault="00166700" w:rsidP="00166700">
      <w:pPr>
        <w:widowControl w:val="0"/>
        <w:autoSpaceDE w:val="0"/>
        <w:autoSpaceDN w:val="0"/>
        <w:adjustRightInd w:val="0"/>
        <w:rPr>
          <w:rFonts w:ascii="Calibri" w:hAnsi="Calibri" w:cs="Times New Roman"/>
          <w:color w:val="000000"/>
        </w:rPr>
      </w:pPr>
      <w:r w:rsidRPr="008710EE">
        <w:rPr>
          <w:rFonts w:ascii="Calibri" w:hAnsi="Calibri" w:cs="Times New Roman"/>
          <w:color w:val="000000"/>
        </w:rPr>
        <w:t>New York, NY 10012</w:t>
      </w:r>
    </w:p>
    <w:p w14:paraId="1030D7F6" w14:textId="2C29C2B9" w:rsidR="00166700" w:rsidRPr="008710EE" w:rsidRDefault="00166700" w:rsidP="00166700">
      <w:pPr>
        <w:widowControl w:val="0"/>
        <w:autoSpaceDE w:val="0"/>
        <w:autoSpaceDN w:val="0"/>
        <w:adjustRightInd w:val="0"/>
        <w:rPr>
          <w:rFonts w:ascii="Calibri" w:hAnsi="Calibri" w:cs="Times New Roman"/>
          <w:color w:val="000000"/>
        </w:rPr>
      </w:pPr>
      <w:r w:rsidRPr="008710EE">
        <w:rPr>
          <w:rFonts w:ascii="Calibri" w:hAnsi="Calibri" w:cs="Times New Roman"/>
          <w:color w:val="000000"/>
        </w:rPr>
        <w:t>(212) 99</w:t>
      </w:r>
      <w:r w:rsidR="006A145A">
        <w:rPr>
          <w:rFonts w:ascii="Calibri" w:hAnsi="Calibri" w:cs="Times New Roman"/>
          <w:color w:val="000000"/>
        </w:rPr>
        <w:t>8-6476</w:t>
      </w:r>
    </w:p>
    <w:p w14:paraId="3CD9C039" w14:textId="77777777" w:rsidR="00166700" w:rsidRPr="007A75A8" w:rsidRDefault="00241535" w:rsidP="00166700">
      <w:pPr>
        <w:widowControl w:val="0"/>
        <w:autoSpaceDE w:val="0"/>
        <w:autoSpaceDN w:val="0"/>
        <w:adjustRightInd w:val="0"/>
        <w:rPr>
          <w:rFonts w:ascii="Calibri" w:hAnsi="Calibri" w:cs="Times New Roman"/>
          <w:color w:val="0000FF"/>
        </w:rPr>
      </w:pPr>
      <w:hyperlink r:id="rId9" w:history="1">
        <w:r w:rsidR="00166700" w:rsidRPr="007A75A8">
          <w:rPr>
            <w:rStyle w:val="Hyperlink"/>
            <w:rFonts w:ascii="Calibri" w:hAnsi="Calibri" w:cs="Times New Roman"/>
            <w:u w:val="none"/>
          </w:rPr>
          <w:t>Rubinstein@exchange.law.nyu.edu</w:t>
        </w:r>
      </w:hyperlink>
    </w:p>
    <w:p w14:paraId="08B02BF8" w14:textId="77777777" w:rsidR="00166700" w:rsidRPr="008710EE" w:rsidRDefault="00166700" w:rsidP="00166700">
      <w:pPr>
        <w:widowControl w:val="0"/>
        <w:autoSpaceDE w:val="0"/>
        <w:autoSpaceDN w:val="0"/>
        <w:adjustRightInd w:val="0"/>
        <w:rPr>
          <w:rFonts w:ascii="Calibri" w:hAnsi="Calibri" w:cs="Times New Roman"/>
          <w:color w:val="0000FF"/>
        </w:rPr>
      </w:pPr>
    </w:p>
    <w:p w14:paraId="699373BA" w14:textId="77777777" w:rsidR="00166700" w:rsidRPr="008710EE" w:rsidRDefault="00166700" w:rsidP="004F299F">
      <w:pPr>
        <w:widowControl w:val="0"/>
        <w:autoSpaceDE w:val="0"/>
        <w:autoSpaceDN w:val="0"/>
        <w:adjustRightInd w:val="0"/>
        <w:outlineLvl w:val="0"/>
        <w:rPr>
          <w:rFonts w:ascii="Calibri" w:hAnsi="Calibri" w:cs="Times New Roman"/>
          <w:color w:val="000000"/>
        </w:rPr>
      </w:pPr>
      <w:r w:rsidRPr="008710EE">
        <w:rPr>
          <w:rFonts w:ascii="Calibri" w:hAnsi="Calibri" w:cs="Times New Roman"/>
          <w:color w:val="000000"/>
        </w:rPr>
        <w:t>Professor Dennis Hirsch</w:t>
      </w:r>
    </w:p>
    <w:p w14:paraId="58CB8DF8" w14:textId="77777777" w:rsidR="00166700" w:rsidRPr="008710EE" w:rsidRDefault="00166700" w:rsidP="00166700">
      <w:pPr>
        <w:widowControl w:val="0"/>
        <w:autoSpaceDE w:val="0"/>
        <w:autoSpaceDN w:val="0"/>
        <w:adjustRightInd w:val="0"/>
        <w:rPr>
          <w:rFonts w:ascii="Calibri" w:hAnsi="Calibri" w:cs="Times New Roman"/>
          <w:color w:val="000000"/>
        </w:rPr>
      </w:pPr>
      <w:r w:rsidRPr="008710EE">
        <w:rPr>
          <w:rFonts w:ascii="Calibri" w:hAnsi="Calibri" w:cs="Times New Roman"/>
          <w:color w:val="000000"/>
        </w:rPr>
        <w:t>Capital University Law School</w:t>
      </w:r>
    </w:p>
    <w:p w14:paraId="14125669" w14:textId="77777777" w:rsidR="00166700" w:rsidRPr="008710EE" w:rsidRDefault="00166700" w:rsidP="00166700">
      <w:pPr>
        <w:widowControl w:val="0"/>
        <w:autoSpaceDE w:val="0"/>
        <w:autoSpaceDN w:val="0"/>
        <w:adjustRightInd w:val="0"/>
        <w:rPr>
          <w:rFonts w:ascii="Calibri" w:hAnsi="Calibri" w:cs="Times New Roman"/>
          <w:color w:val="000000"/>
        </w:rPr>
      </w:pPr>
      <w:r w:rsidRPr="008710EE">
        <w:rPr>
          <w:rFonts w:ascii="Calibri" w:hAnsi="Calibri" w:cs="Times New Roman"/>
          <w:color w:val="000000"/>
        </w:rPr>
        <w:t>303 E. Broad Street</w:t>
      </w:r>
    </w:p>
    <w:p w14:paraId="1E89C287" w14:textId="77777777" w:rsidR="00166700" w:rsidRPr="008710EE" w:rsidRDefault="00166700" w:rsidP="00166700">
      <w:pPr>
        <w:widowControl w:val="0"/>
        <w:autoSpaceDE w:val="0"/>
        <w:autoSpaceDN w:val="0"/>
        <w:adjustRightInd w:val="0"/>
        <w:rPr>
          <w:rFonts w:ascii="Calibri" w:hAnsi="Calibri" w:cs="Times New Roman"/>
          <w:color w:val="000000"/>
        </w:rPr>
      </w:pPr>
      <w:r w:rsidRPr="008710EE">
        <w:rPr>
          <w:rFonts w:ascii="Calibri" w:hAnsi="Calibri" w:cs="Times New Roman"/>
          <w:color w:val="000000"/>
        </w:rPr>
        <w:t>Columbus, OH 43209</w:t>
      </w:r>
    </w:p>
    <w:p w14:paraId="25F87A5B" w14:textId="77777777" w:rsidR="00166700" w:rsidRPr="008710EE" w:rsidRDefault="00166700" w:rsidP="00166700">
      <w:pPr>
        <w:widowControl w:val="0"/>
        <w:autoSpaceDE w:val="0"/>
        <w:autoSpaceDN w:val="0"/>
        <w:adjustRightInd w:val="0"/>
        <w:rPr>
          <w:rFonts w:ascii="Calibri" w:hAnsi="Calibri" w:cs="Times New Roman"/>
          <w:color w:val="000000"/>
        </w:rPr>
      </w:pPr>
      <w:r w:rsidRPr="008710EE">
        <w:rPr>
          <w:rFonts w:ascii="Calibri" w:hAnsi="Calibri" w:cs="Times New Roman"/>
          <w:color w:val="000000"/>
        </w:rPr>
        <w:t>(614) 236-6685</w:t>
      </w:r>
    </w:p>
    <w:p w14:paraId="487AA935" w14:textId="77777777" w:rsidR="00166700" w:rsidRPr="008710EE" w:rsidRDefault="00166700" w:rsidP="00166700">
      <w:pPr>
        <w:widowControl w:val="0"/>
        <w:autoSpaceDE w:val="0"/>
        <w:autoSpaceDN w:val="0"/>
        <w:adjustRightInd w:val="0"/>
        <w:rPr>
          <w:rFonts w:ascii="Calibri" w:hAnsi="Calibri" w:cs="Times New Roman"/>
          <w:color w:val="0000FF"/>
        </w:rPr>
      </w:pPr>
      <w:r w:rsidRPr="008710EE">
        <w:rPr>
          <w:rFonts w:ascii="Calibri" w:hAnsi="Calibri" w:cs="Times New Roman"/>
          <w:color w:val="0000FF"/>
        </w:rPr>
        <w:t>dhirsch@law.capital.edu</w:t>
      </w:r>
    </w:p>
    <w:p w14:paraId="24BA4048" w14:textId="77777777" w:rsidR="00166700" w:rsidRPr="008710EE" w:rsidRDefault="00166700" w:rsidP="00166700">
      <w:pPr>
        <w:widowControl w:val="0"/>
        <w:autoSpaceDE w:val="0"/>
        <w:autoSpaceDN w:val="0"/>
        <w:adjustRightInd w:val="0"/>
        <w:rPr>
          <w:rFonts w:ascii="Calibri" w:hAnsi="Calibri" w:cs="Times New Roman"/>
          <w:color w:val="000000"/>
        </w:rPr>
      </w:pPr>
    </w:p>
    <w:p w14:paraId="1840BE75" w14:textId="591FFE82" w:rsidR="00166700" w:rsidRPr="008710EE" w:rsidRDefault="00166700" w:rsidP="00166700">
      <w:pPr>
        <w:widowControl w:val="0"/>
        <w:autoSpaceDE w:val="0"/>
        <w:autoSpaceDN w:val="0"/>
        <w:adjustRightInd w:val="0"/>
        <w:rPr>
          <w:rFonts w:ascii="Calibri" w:hAnsi="Calibri" w:cs="Times New Roman"/>
          <w:color w:val="000000"/>
        </w:rPr>
      </w:pPr>
      <w:r w:rsidRPr="008710EE">
        <w:rPr>
          <w:rFonts w:ascii="Calibri" w:hAnsi="Calibri" w:cs="Times New Roman"/>
          <w:color w:val="000000"/>
        </w:rPr>
        <w:t>March 2</w:t>
      </w:r>
      <w:r w:rsidR="006A145A">
        <w:rPr>
          <w:rFonts w:ascii="Calibri" w:hAnsi="Calibri" w:cs="Times New Roman"/>
          <w:color w:val="000000"/>
        </w:rPr>
        <w:t>6</w:t>
      </w:r>
      <w:r w:rsidRPr="008710EE">
        <w:rPr>
          <w:rFonts w:ascii="Calibri" w:hAnsi="Calibri" w:cs="Times New Roman"/>
          <w:color w:val="000000"/>
        </w:rPr>
        <w:t>, 2012</w:t>
      </w:r>
    </w:p>
    <w:p w14:paraId="06D7601B" w14:textId="77777777" w:rsidR="00166700" w:rsidRPr="008710EE" w:rsidRDefault="00166700" w:rsidP="00166700">
      <w:pPr>
        <w:widowControl w:val="0"/>
        <w:autoSpaceDE w:val="0"/>
        <w:autoSpaceDN w:val="0"/>
        <w:adjustRightInd w:val="0"/>
        <w:rPr>
          <w:rFonts w:ascii="Calibri" w:hAnsi="Calibri" w:cs="Times New Roman"/>
          <w:color w:val="000000"/>
        </w:rPr>
      </w:pPr>
    </w:p>
    <w:p w14:paraId="0F8E97DF" w14:textId="77777777" w:rsidR="00166700" w:rsidRPr="008710EE" w:rsidRDefault="00166700" w:rsidP="004F299F">
      <w:pPr>
        <w:widowControl w:val="0"/>
        <w:autoSpaceDE w:val="0"/>
        <w:autoSpaceDN w:val="0"/>
        <w:adjustRightInd w:val="0"/>
        <w:outlineLvl w:val="0"/>
        <w:rPr>
          <w:rFonts w:ascii="Calibri" w:hAnsi="Calibri" w:cs="Times New Roman"/>
          <w:b/>
          <w:bCs/>
          <w:color w:val="000000"/>
        </w:rPr>
      </w:pPr>
      <w:r w:rsidRPr="008710EE">
        <w:rPr>
          <w:rFonts w:ascii="Calibri" w:hAnsi="Calibri" w:cs="Times New Roman"/>
          <w:b/>
          <w:bCs/>
          <w:color w:val="000000"/>
        </w:rPr>
        <w:t>Introduction</w:t>
      </w:r>
    </w:p>
    <w:p w14:paraId="6C64F1FE" w14:textId="77777777" w:rsidR="00166700" w:rsidRPr="008710EE" w:rsidRDefault="00166700">
      <w:pPr>
        <w:rPr>
          <w:rFonts w:ascii="Calibri" w:hAnsi="Calibri"/>
        </w:rPr>
      </w:pPr>
    </w:p>
    <w:p w14:paraId="77A48F03" w14:textId="34938AF3" w:rsidR="00BA42AE" w:rsidRPr="008710EE" w:rsidRDefault="005F177B" w:rsidP="00331AE7">
      <w:pPr>
        <w:widowControl w:val="0"/>
        <w:autoSpaceDE w:val="0"/>
        <w:autoSpaceDN w:val="0"/>
        <w:adjustRightInd w:val="0"/>
        <w:rPr>
          <w:rFonts w:ascii="Calibri" w:hAnsi="Calibri"/>
          <w:bCs/>
        </w:rPr>
      </w:pPr>
      <w:r>
        <w:rPr>
          <w:rFonts w:ascii="Calibri" w:hAnsi="Calibri"/>
        </w:rPr>
        <w:t xml:space="preserve">We are law professors who have studied </w:t>
      </w:r>
      <w:r w:rsidR="00AF4659">
        <w:rPr>
          <w:rFonts w:ascii="Calibri" w:hAnsi="Calibri"/>
        </w:rPr>
        <w:t>co-regulation in privacy and related fields</w:t>
      </w:r>
      <w:r w:rsidR="008B54EB">
        <w:rPr>
          <w:rFonts w:ascii="Calibri" w:hAnsi="Calibri"/>
        </w:rPr>
        <w:t>.</w:t>
      </w:r>
      <w:r w:rsidR="00BA42AE" w:rsidRPr="008710EE">
        <w:rPr>
          <w:rStyle w:val="FootnoteReference"/>
          <w:rFonts w:ascii="Calibri" w:hAnsi="Calibri" w:cs="Times New Roman"/>
        </w:rPr>
        <w:footnoteReference w:id="1"/>
      </w:r>
      <w:r w:rsidR="00F85CDD">
        <w:rPr>
          <w:rFonts w:ascii="Calibri" w:hAnsi="Calibri"/>
        </w:rPr>
        <w:t xml:space="preserve"> </w:t>
      </w:r>
      <w:r w:rsidR="00BA42AE" w:rsidRPr="008710EE">
        <w:rPr>
          <w:rFonts w:ascii="Calibri" w:hAnsi="Calibri" w:cs="Times New Roman"/>
        </w:rPr>
        <w:t xml:space="preserve"> </w:t>
      </w:r>
      <w:r w:rsidR="00BA42AE" w:rsidRPr="008710EE">
        <w:rPr>
          <w:rFonts w:ascii="Calibri" w:hAnsi="Calibri"/>
        </w:rPr>
        <w:t xml:space="preserve">In these comments, we draw </w:t>
      </w:r>
      <w:r>
        <w:rPr>
          <w:rFonts w:ascii="Calibri" w:hAnsi="Calibri"/>
        </w:rPr>
        <w:t>on our research in order to suggest ways in which the N</w:t>
      </w:r>
      <w:r w:rsidR="006A145A">
        <w:rPr>
          <w:rFonts w:ascii="Calibri" w:hAnsi="Calibri"/>
        </w:rPr>
        <w:t xml:space="preserve">ational </w:t>
      </w:r>
      <w:r>
        <w:rPr>
          <w:rFonts w:ascii="Calibri" w:hAnsi="Calibri"/>
        </w:rPr>
        <w:t>T</w:t>
      </w:r>
      <w:r w:rsidR="006A145A">
        <w:rPr>
          <w:rFonts w:ascii="Calibri" w:hAnsi="Calibri"/>
        </w:rPr>
        <w:t xml:space="preserve">elecommunications and </w:t>
      </w:r>
      <w:r>
        <w:rPr>
          <w:rFonts w:ascii="Calibri" w:hAnsi="Calibri"/>
        </w:rPr>
        <w:t>I</w:t>
      </w:r>
      <w:r w:rsidR="006A145A">
        <w:rPr>
          <w:rFonts w:ascii="Calibri" w:hAnsi="Calibri"/>
        </w:rPr>
        <w:t>nformation Administration</w:t>
      </w:r>
      <w:r>
        <w:rPr>
          <w:rFonts w:ascii="Calibri" w:hAnsi="Calibri"/>
        </w:rPr>
        <w:t xml:space="preserve"> (the </w:t>
      </w:r>
      <w:r w:rsidR="006A145A">
        <w:rPr>
          <w:rFonts w:ascii="Calibri" w:hAnsi="Calibri"/>
        </w:rPr>
        <w:t>“NTIA” or “</w:t>
      </w:r>
      <w:r>
        <w:rPr>
          <w:rFonts w:ascii="Calibri" w:hAnsi="Calibri"/>
        </w:rPr>
        <w:t>Administration</w:t>
      </w:r>
      <w:r w:rsidR="006A145A">
        <w:rPr>
          <w:rFonts w:ascii="Calibri" w:hAnsi="Calibri"/>
        </w:rPr>
        <w:t>”</w:t>
      </w:r>
      <w:r>
        <w:rPr>
          <w:rFonts w:ascii="Calibri" w:hAnsi="Calibri"/>
        </w:rPr>
        <w:t xml:space="preserve">) can best </w:t>
      </w:r>
      <w:r w:rsidR="00AF4659">
        <w:rPr>
          <w:rFonts w:ascii="Calibri" w:hAnsi="Calibri"/>
        </w:rPr>
        <w:t>use multistakeholder</w:t>
      </w:r>
      <w:r w:rsidR="00AF4659" w:rsidRPr="008710EE">
        <w:rPr>
          <w:rFonts w:ascii="Calibri" w:hAnsi="Calibri"/>
        </w:rPr>
        <w:t xml:space="preserve"> </w:t>
      </w:r>
      <w:r w:rsidR="00AF4659">
        <w:rPr>
          <w:rFonts w:ascii="Calibri" w:hAnsi="Calibri"/>
        </w:rPr>
        <w:t xml:space="preserve">(“MSH”) codes of conduct—a form of co-regulation—in order to </w:t>
      </w:r>
      <w:r w:rsidRPr="008710EE">
        <w:rPr>
          <w:rFonts w:ascii="Calibri" w:hAnsi="Calibri"/>
        </w:rPr>
        <w:t>implement the Consumer Privacy Bill of Rights (“CPBR”)</w:t>
      </w:r>
      <w:r w:rsidR="00AF4659">
        <w:rPr>
          <w:rFonts w:ascii="Calibri" w:hAnsi="Calibri"/>
        </w:rPr>
        <w:t>.</w:t>
      </w:r>
      <w:r w:rsidR="00227D06" w:rsidRPr="008710EE">
        <w:rPr>
          <w:rStyle w:val="FootnoteReference"/>
          <w:rFonts w:ascii="Calibri" w:hAnsi="Calibri"/>
        </w:rPr>
        <w:footnoteReference w:id="2"/>
      </w:r>
      <w:r w:rsidR="00331AE7" w:rsidRPr="008710EE">
        <w:rPr>
          <w:rFonts w:ascii="Calibri" w:hAnsi="Calibri"/>
        </w:rPr>
        <w:t xml:space="preserve"> </w:t>
      </w:r>
    </w:p>
    <w:p w14:paraId="0B4D2E96" w14:textId="74E2946C" w:rsidR="000D7342" w:rsidRPr="008710EE" w:rsidRDefault="00331AE7" w:rsidP="002A4E26">
      <w:pPr>
        <w:widowControl w:val="0"/>
        <w:autoSpaceDE w:val="0"/>
        <w:autoSpaceDN w:val="0"/>
        <w:adjustRightInd w:val="0"/>
        <w:rPr>
          <w:rFonts w:ascii="Calibri" w:hAnsi="Calibri" w:cs="Times New Roman"/>
        </w:rPr>
      </w:pPr>
      <w:r w:rsidRPr="008710EE">
        <w:rPr>
          <w:rFonts w:ascii="Calibri" w:hAnsi="Calibri"/>
        </w:rPr>
        <w:lastRenderedPageBreak/>
        <w:t xml:space="preserve">Our </w:t>
      </w:r>
      <w:r w:rsidR="002A4E26" w:rsidRPr="008710EE">
        <w:rPr>
          <w:rFonts w:ascii="Calibri" w:hAnsi="Calibri"/>
        </w:rPr>
        <w:t>comments focus on t</w:t>
      </w:r>
      <w:r w:rsidRPr="008710EE">
        <w:rPr>
          <w:rFonts w:ascii="Calibri" w:hAnsi="Calibri"/>
        </w:rPr>
        <w:t>wo</w:t>
      </w:r>
      <w:r w:rsidR="002A4E26" w:rsidRPr="008710EE">
        <w:rPr>
          <w:rFonts w:ascii="Calibri" w:hAnsi="Calibri"/>
        </w:rPr>
        <w:t xml:space="preserve"> issues: First, </w:t>
      </w:r>
      <w:r w:rsidR="00AA4D29" w:rsidRPr="008710EE">
        <w:rPr>
          <w:rFonts w:ascii="Calibri" w:hAnsi="Calibri"/>
        </w:rPr>
        <w:t xml:space="preserve">whether </w:t>
      </w:r>
      <w:r w:rsidR="006A145A">
        <w:rPr>
          <w:rFonts w:ascii="Calibri" w:hAnsi="Calibri"/>
        </w:rPr>
        <w:t xml:space="preserve">weak </w:t>
      </w:r>
      <w:r w:rsidR="005F177B">
        <w:rPr>
          <w:rFonts w:ascii="Calibri" w:hAnsi="Calibri"/>
        </w:rPr>
        <w:t xml:space="preserve">incentives and free-rider problems will prevent companies from participating </w:t>
      </w:r>
      <w:r w:rsidR="00AA4D29" w:rsidRPr="008710EE">
        <w:rPr>
          <w:rFonts w:ascii="Calibri" w:hAnsi="Calibri"/>
        </w:rPr>
        <w:t xml:space="preserve">in the </w:t>
      </w:r>
      <w:r w:rsidR="00AA4D29">
        <w:rPr>
          <w:rFonts w:ascii="Calibri" w:hAnsi="Calibri"/>
        </w:rPr>
        <w:t>MSH</w:t>
      </w:r>
      <w:r w:rsidR="00AA4D29" w:rsidRPr="008710EE">
        <w:rPr>
          <w:rFonts w:ascii="Calibri" w:hAnsi="Calibri"/>
        </w:rPr>
        <w:t xml:space="preserve"> process and/or voluntarily </w:t>
      </w:r>
      <w:r w:rsidR="00AA4D29">
        <w:rPr>
          <w:rFonts w:ascii="Calibri" w:hAnsi="Calibri"/>
        </w:rPr>
        <w:t>adopt</w:t>
      </w:r>
      <w:r w:rsidR="005F177B">
        <w:rPr>
          <w:rFonts w:ascii="Calibri" w:hAnsi="Calibri"/>
        </w:rPr>
        <w:t>ing</w:t>
      </w:r>
      <w:r w:rsidR="00AA4D29" w:rsidRPr="008710EE">
        <w:rPr>
          <w:rFonts w:ascii="Calibri" w:hAnsi="Calibri"/>
        </w:rPr>
        <w:t xml:space="preserve"> a code of conduct</w:t>
      </w:r>
      <w:r w:rsidR="005F177B">
        <w:rPr>
          <w:rFonts w:ascii="Calibri" w:hAnsi="Calibri"/>
        </w:rPr>
        <w:t>,</w:t>
      </w:r>
      <w:r w:rsidR="00AA4D29" w:rsidRPr="008710EE">
        <w:rPr>
          <w:rFonts w:ascii="Calibri" w:hAnsi="Calibri"/>
        </w:rPr>
        <w:t xml:space="preserve"> and what the Administration might do to </w:t>
      </w:r>
      <w:r w:rsidR="005F177B">
        <w:rPr>
          <w:rFonts w:ascii="Calibri" w:hAnsi="Calibri"/>
        </w:rPr>
        <w:t>address this</w:t>
      </w:r>
      <w:r w:rsidR="00AA4D29" w:rsidRPr="008710EE">
        <w:rPr>
          <w:rFonts w:ascii="Calibri" w:hAnsi="Calibri"/>
        </w:rPr>
        <w:t xml:space="preserve">. </w:t>
      </w:r>
      <w:r w:rsidR="00AA4D29">
        <w:rPr>
          <w:rFonts w:ascii="Calibri" w:hAnsi="Calibri"/>
        </w:rPr>
        <w:t xml:space="preserve"> Second, </w:t>
      </w:r>
      <w:r w:rsidR="00FE1692">
        <w:rPr>
          <w:rFonts w:ascii="Calibri" w:hAnsi="Calibri" w:cs="Times New Roman"/>
          <w:bCs/>
        </w:rPr>
        <w:t xml:space="preserve">the lessons that </w:t>
      </w:r>
      <w:r w:rsidR="00AA4D29">
        <w:rPr>
          <w:rFonts w:ascii="Calibri" w:hAnsi="Calibri" w:cs="Times New Roman"/>
          <w:bCs/>
        </w:rPr>
        <w:t>environmental covenants</w:t>
      </w:r>
      <w:r w:rsidR="005F177B">
        <w:rPr>
          <w:rFonts w:ascii="Calibri" w:hAnsi="Calibri" w:cs="Times New Roman"/>
          <w:bCs/>
        </w:rPr>
        <w:t>—a form of co-regulation practiced in the field of environmental law</w:t>
      </w:r>
      <w:r w:rsidR="008B54EB">
        <w:rPr>
          <w:rFonts w:ascii="Calibri" w:hAnsi="Calibri" w:cs="Times New Roman"/>
          <w:bCs/>
        </w:rPr>
        <w:t xml:space="preserve"> that is very analogous to the proposed MSH </w:t>
      </w:r>
      <w:r w:rsidR="006A145A">
        <w:rPr>
          <w:rFonts w:ascii="Calibri" w:hAnsi="Calibri" w:cs="Times New Roman"/>
          <w:bCs/>
        </w:rPr>
        <w:t>p</w:t>
      </w:r>
      <w:r w:rsidR="008B54EB">
        <w:rPr>
          <w:rFonts w:ascii="Calibri" w:hAnsi="Calibri" w:cs="Times New Roman"/>
          <w:bCs/>
        </w:rPr>
        <w:t>rocess</w:t>
      </w:r>
      <w:r w:rsidR="005F177B">
        <w:rPr>
          <w:rFonts w:ascii="Calibri" w:hAnsi="Calibri" w:cs="Times New Roman"/>
          <w:bCs/>
        </w:rPr>
        <w:t xml:space="preserve">—hold for the Administration’s </w:t>
      </w:r>
      <w:r w:rsidR="008B54EB">
        <w:rPr>
          <w:rFonts w:ascii="Calibri" w:hAnsi="Calibri" w:cs="Times New Roman"/>
          <w:bCs/>
        </w:rPr>
        <w:t>proposal</w:t>
      </w:r>
      <w:r w:rsidR="005F177B">
        <w:rPr>
          <w:rFonts w:ascii="Calibri" w:hAnsi="Calibri" w:cs="Times New Roman"/>
          <w:bCs/>
        </w:rPr>
        <w:t xml:space="preserve">. </w:t>
      </w:r>
    </w:p>
    <w:p w14:paraId="2B00DB94" w14:textId="77777777" w:rsidR="00B67648" w:rsidRPr="008710EE" w:rsidRDefault="00B67648" w:rsidP="00AC7086">
      <w:pPr>
        <w:widowControl w:val="0"/>
        <w:autoSpaceDE w:val="0"/>
        <w:autoSpaceDN w:val="0"/>
        <w:adjustRightInd w:val="0"/>
        <w:rPr>
          <w:rFonts w:ascii="Calibri" w:hAnsi="Calibri" w:cs="Times New Roman"/>
        </w:rPr>
      </w:pPr>
    </w:p>
    <w:p w14:paraId="5AF48140" w14:textId="77777777" w:rsidR="004914A0" w:rsidRPr="004914A0" w:rsidRDefault="00F96FC1" w:rsidP="004F299F">
      <w:pPr>
        <w:outlineLvl w:val="0"/>
        <w:rPr>
          <w:rFonts w:ascii="Calibri" w:hAnsi="Calibri" w:cs="Times New Roman"/>
          <w:b/>
        </w:rPr>
      </w:pPr>
      <w:r w:rsidRPr="004914A0">
        <w:rPr>
          <w:rFonts w:ascii="Calibri" w:hAnsi="Calibri" w:cs="Times New Roman"/>
          <w:b/>
        </w:rPr>
        <w:t xml:space="preserve">Overcoming the Free Rider Problem via </w:t>
      </w:r>
      <w:r w:rsidR="00227D06" w:rsidRPr="004914A0">
        <w:rPr>
          <w:rFonts w:ascii="Calibri" w:hAnsi="Calibri" w:cs="Times New Roman"/>
          <w:b/>
        </w:rPr>
        <w:t xml:space="preserve">an </w:t>
      </w:r>
      <w:r w:rsidRPr="004914A0">
        <w:rPr>
          <w:rFonts w:ascii="Calibri" w:hAnsi="Calibri" w:cs="Times New Roman"/>
          <w:b/>
        </w:rPr>
        <w:t>FTC Enforcement</w:t>
      </w:r>
      <w:r w:rsidR="00227D06" w:rsidRPr="004914A0">
        <w:rPr>
          <w:rFonts w:ascii="Calibri" w:hAnsi="Calibri" w:cs="Times New Roman"/>
          <w:b/>
        </w:rPr>
        <w:t xml:space="preserve"> Strategy</w:t>
      </w:r>
      <w:r w:rsidRPr="004914A0">
        <w:rPr>
          <w:rFonts w:ascii="Calibri" w:hAnsi="Calibri" w:cs="Times New Roman"/>
          <w:b/>
        </w:rPr>
        <w:t xml:space="preserve"> </w:t>
      </w:r>
    </w:p>
    <w:p w14:paraId="710F4ED6" w14:textId="77777777" w:rsidR="004914A0" w:rsidRDefault="004914A0" w:rsidP="008710EE">
      <w:pPr>
        <w:rPr>
          <w:rFonts w:ascii="Calibri" w:hAnsi="Calibri" w:cs="Times New Roman"/>
        </w:rPr>
      </w:pPr>
    </w:p>
    <w:p w14:paraId="735058BB" w14:textId="3364F8E8" w:rsidR="00835E85" w:rsidRDefault="004712BD" w:rsidP="008710EE">
      <w:pPr>
        <w:rPr>
          <w:rFonts w:ascii="Calibri" w:hAnsi="Calibri"/>
        </w:rPr>
      </w:pPr>
      <w:r>
        <w:rPr>
          <w:rFonts w:ascii="Calibri" w:hAnsi="Calibri"/>
        </w:rPr>
        <w:t xml:space="preserve">In thinking about the incentives of companies to </w:t>
      </w:r>
      <w:r w:rsidR="00835E85" w:rsidRPr="008710EE">
        <w:rPr>
          <w:rFonts w:ascii="Calibri" w:hAnsi="Calibri"/>
        </w:rPr>
        <w:t xml:space="preserve">participate in </w:t>
      </w:r>
      <w:r w:rsidR="006A145A">
        <w:rPr>
          <w:rFonts w:ascii="Calibri" w:hAnsi="Calibri"/>
        </w:rPr>
        <w:t>the</w:t>
      </w:r>
      <w:r w:rsidR="00835E85" w:rsidRPr="008710EE">
        <w:rPr>
          <w:rFonts w:ascii="Calibri" w:hAnsi="Calibri"/>
        </w:rPr>
        <w:t xml:space="preserve"> </w:t>
      </w:r>
      <w:r>
        <w:rPr>
          <w:rFonts w:ascii="Calibri" w:hAnsi="Calibri"/>
        </w:rPr>
        <w:t>MSH</w:t>
      </w:r>
      <w:r w:rsidR="00835E85" w:rsidRPr="008710EE">
        <w:rPr>
          <w:rFonts w:ascii="Calibri" w:hAnsi="Calibri"/>
        </w:rPr>
        <w:t xml:space="preserve"> process</w:t>
      </w:r>
      <w:r>
        <w:rPr>
          <w:rFonts w:ascii="Calibri" w:hAnsi="Calibri"/>
        </w:rPr>
        <w:t xml:space="preserve">, it is helpful to divide them </w:t>
      </w:r>
      <w:r w:rsidR="00835E85" w:rsidRPr="008710EE">
        <w:rPr>
          <w:rFonts w:ascii="Calibri" w:hAnsi="Calibri"/>
        </w:rPr>
        <w:t xml:space="preserve">into two categories: (1) </w:t>
      </w:r>
      <w:r>
        <w:rPr>
          <w:rFonts w:ascii="Calibri" w:hAnsi="Calibri"/>
        </w:rPr>
        <w:t xml:space="preserve">those </w:t>
      </w:r>
      <w:r w:rsidR="00835E85" w:rsidRPr="008710EE">
        <w:rPr>
          <w:rFonts w:ascii="Calibri" w:hAnsi="Calibri"/>
        </w:rPr>
        <w:t xml:space="preserve">that already voluntarily adhere to an industry code of conduct (e.g., NAI, IAB, DAA, GSMA); and (2) </w:t>
      </w:r>
      <w:r>
        <w:rPr>
          <w:rFonts w:ascii="Calibri" w:hAnsi="Calibri"/>
        </w:rPr>
        <w:t>those</w:t>
      </w:r>
      <w:r w:rsidR="00835E85" w:rsidRPr="008710EE">
        <w:rPr>
          <w:rFonts w:ascii="Calibri" w:hAnsi="Calibri"/>
        </w:rPr>
        <w:t xml:space="preserve"> that do not already adhere to a code.  In the absence of legislation, both groups have an incentive to </w:t>
      </w:r>
      <w:r w:rsidR="00A6122B" w:rsidRPr="008710EE">
        <w:rPr>
          <w:rFonts w:ascii="Calibri" w:hAnsi="Calibri"/>
        </w:rPr>
        <w:t xml:space="preserve">refrain from participating in </w:t>
      </w:r>
      <w:r w:rsidR="00835E85" w:rsidRPr="008710EE">
        <w:rPr>
          <w:rFonts w:ascii="Calibri" w:hAnsi="Calibri"/>
        </w:rPr>
        <w:t xml:space="preserve">the MSH process. </w:t>
      </w:r>
    </w:p>
    <w:p w14:paraId="6C68FAD6" w14:textId="77777777" w:rsidR="00B94AEE" w:rsidRPr="008710EE" w:rsidRDefault="00B94AEE" w:rsidP="008710EE">
      <w:pPr>
        <w:rPr>
          <w:rFonts w:ascii="Calibri" w:hAnsi="Calibri"/>
        </w:rPr>
      </w:pPr>
    </w:p>
    <w:p w14:paraId="126BDC28" w14:textId="31891D9C" w:rsidR="00CA0D80" w:rsidRDefault="00835E85" w:rsidP="008710EE">
      <w:pPr>
        <w:rPr>
          <w:rFonts w:ascii="Calibri" w:hAnsi="Calibri"/>
        </w:rPr>
      </w:pPr>
      <w:r w:rsidRPr="008710EE">
        <w:rPr>
          <w:rFonts w:ascii="Calibri" w:hAnsi="Calibri"/>
        </w:rPr>
        <w:t xml:space="preserve">Those in the first group drafted </w:t>
      </w:r>
      <w:r w:rsidR="004712BD">
        <w:rPr>
          <w:rFonts w:ascii="Calibri" w:hAnsi="Calibri"/>
        </w:rPr>
        <w:t xml:space="preserve">industry </w:t>
      </w:r>
      <w:r w:rsidRPr="008710EE">
        <w:rPr>
          <w:rFonts w:ascii="Calibri" w:hAnsi="Calibri"/>
        </w:rPr>
        <w:t>codes of conduct with no or limited consumer input.</w:t>
      </w:r>
      <w:r w:rsidR="00F85CDD">
        <w:rPr>
          <w:rFonts w:ascii="Calibri" w:hAnsi="Calibri"/>
        </w:rPr>
        <w:t xml:space="preserve"> </w:t>
      </w:r>
      <w:r w:rsidRPr="008710EE">
        <w:rPr>
          <w:rFonts w:ascii="Calibri" w:hAnsi="Calibri"/>
        </w:rPr>
        <w:t xml:space="preserve"> If they </w:t>
      </w:r>
      <w:r w:rsidR="004712BD">
        <w:rPr>
          <w:rFonts w:ascii="Calibri" w:hAnsi="Calibri"/>
        </w:rPr>
        <w:t xml:space="preserve">choose to </w:t>
      </w:r>
      <w:r w:rsidRPr="008710EE">
        <w:rPr>
          <w:rFonts w:ascii="Calibri" w:hAnsi="Calibri"/>
        </w:rPr>
        <w:t xml:space="preserve">participate in the MSH process, one can safely predict that consumer groups will seek to strengthen these existing </w:t>
      </w:r>
      <w:r w:rsidR="004712BD">
        <w:rPr>
          <w:rFonts w:ascii="Calibri" w:hAnsi="Calibri"/>
        </w:rPr>
        <w:t xml:space="preserve">industry </w:t>
      </w:r>
      <w:r w:rsidRPr="008710EE">
        <w:rPr>
          <w:rFonts w:ascii="Calibri" w:hAnsi="Calibri"/>
        </w:rPr>
        <w:t>codes.</w:t>
      </w:r>
      <w:r w:rsidR="00F85CDD">
        <w:rPr>
          <w:rFonts w:ascii="Calibri" w:hAnsi="Calibri"/>
        </w:rPr>
        <w:t xml:space="preserve"> </w:t>
      </w:r>
      <w:r w:rsidRPr="008710EE">
        <w:rPr>
          <w:rFonts w:ascii="Calibri" w:hAnsi="Calibri"/>
        </w:rPr>
        <w:t xml:space="preserve"> Thus, </w:t>
      </w:r>
      <w:r w:rsidR="006A145A">
        <w:rPr>
          <w:rFonts w:ascii="Calibri" w:hAnsi="Calibri"/>
        </w:rPr>
        <w:t xml:space="preserve">most </w:t>
      </w:r>
      <w:r w:rsidRPr="008710EE">
        <w:rPr>
          <w:rFonts w:ascii="Calibri" w:hAnsi="Calibri"/>
        </w:rPr>
        <w:t>firms would have a strong incentive to sit out the MSH process (or not adopt any codes that emerge) rather than make themselves subject to more restrictive rules.</w:t>
      </w:r>
      <w:r w:rsidR="00B94AEE">
        <w:rPr>
          <w:rFonts w:ascii="Calibri" w:hAnsi="Calibri"/>
        </w:rPr>
        <w:t xml:space="preserve"> </w:t>
      </w:r>
      <w:r w:rsidRPr="008710EE">
        <w:rPr>
          <w:rFonts w:ascii="Calibri" w:hAnsi="Calibri"/>
        </w:rPr>
        <w:t>Those in the second group have even stronger reasons not to participate.</w:t>
      </w:r>
      <w:r w:rsidR="00F85CDD">
        <w:rPr>
          <w:rFonts w:ascii="Calibri" w:hAnsi="Calibri"/>
        </w:rPr>
        <w:t xml:space="preserve"> </w:t>
      </w:r>
      <w:r w:rsidRPr="008710EE">
        <w:rPr>
          <w:rFonts w:ascii="Calibri" w:hAnsi="Calibri"/>
        </w:rPr>
        <w:t xml:space="preserve"> If they have not yet promised to comply with a voluntary code th</w:t>
      </w:r>
      <w:r w:rsidR="004712BD">
        <w:rPr>
          <w:rFonts w:ascii="Calibri" w:hAnsi="Calibri"/>
        </w:rPr>
        <w:t>en they are not subject to s</w:t>
      </w:r>
      <w:r w:rsidRPr="008710EE">
        <w:rPr>
          <w:rFonts w:ascii="Calibri" w:hAnsi="Calibri"/>
        </w:rPr>
        <w:t>ection 5</w:t>
      </w:r>
      <w:r w:rsidR="004712BD">
        <w:rPr>
          <w:rFonts w:ascii="Calibri" w:hAnsi="Calibri"/>
        </w:rPr>
        <w:t xml:space="preserve"> </w:t>
      </w:r>
      <w:r w:rsidRPr="008710EE">
        <w:rPr>
          <w:rFonts w:ascii="Calibri" w:hAnsi="Calibri"/>
        </w:rPr>
        <w:t xml:space="preserve">enforcement </w:t>
      </w:r>
      <w:r w:rsidR="006A145A">
        <w:rPr>
          <w:rFonts w:ascii="Calibri" w:hAnsi="Calibri"/>
        </w:rPr>
        <w:t xml:space="preserve">by the Federal Trade Commission (“FTC”) </w:t>
      </w:r>
      <w:r w:rsidRPr="008710EE">
        <w:rPr>
          <w:rFonts w:ascii="Calibri" w:hAnsi="Calibri"/>
        </w:rPr>
        <w:t xml:space="preserve">for </w:t>
      </w:r>
      <w:r w:rsidR="00CA0D80" w:rsidRPr="008710EE">
        <w:rPr>
          <w:rFonts w:ascii="Calibri" w:hAnsi="Calibri"/>
        </w:rPr>
        <w:t>“deceptively” fail</w:t>
      </w:r>
      <w:r w:rsidR="00576BA1">
        <w:rPr>
          <w:rFonts w:ascii="Calibri" w:hAnsi="Calibri"/>
        </w:rPr>
        <w:t xml:space="preserve">ing to live up to such </w:t>
      </w:r>
      <w:r w:rsidR="005E25E0" w:rsidRPr="008710EE">
        <w:rPr>
          <w:rFonts w:ascii="Calibri" w:hAnsi="Calibri"/>
        </w:rPr>
        <w:t>commitment</w:t>
      </w:r>
      <w:r w:rsidR="00576BA1">
        <w:rPr>
          <w:rFonts w:ascii="Calibri" w:hAnsi="Calibri"/>
        </w:rPr>
        <w:t>s</w:t>
      </w:r>
      <w:r w:rsidR="004712BD">
        <w:rPr>
          <w:rFonts w:ascii="Calibri" w:hAnsi="Calibri"/>
        </w:rPr>
        <w:t>.</w:t>
      </w:r>
      <w:r w:rsidR="00F85CDD">
        <w:rPr>
          <w:rFonts w:ascii="Calibri" w:hAnsi="Calibri"/>
        </w:rPr>
        <w:t xml:space="preserve"> </w:t>
      </w:r>
      <w:r w:rsidR="004712BD">
        <w:rPr>
          <w:rFonts w:ascii="Calibri" w:hAnsi="Calibri"/>
        </w:rPr>
        <w:t xml:space="preserve"> </w:t>
      </w:r>
      <w:r w:rsidRPr="008710EE">
        <w:rPr>
          <w:rFonts w:ascii="Calibri" w:hAnsi="Calibri"/>
        </w:rPr>
        <w:t xml:space="preserve">Were they to sign on to a MSH code they would make themselves subject to such enforcement.  </w:t>
      </w:r>
      <w:r w:rsidR="00CA0D80" w:rsidRPr="008710EE">
        <w:rPr>
          <w:rFonts w:ascii="Calibri" w:hAnsi="Calibri"/>
        </w:rPr>
        <w:t xml:space="preserve">Thus, firms in both the first and second groups </w:t>
      </w:r>
      <w:r w:rsidR="005E25E0" w:rsidRPr="008710EE">
        <w:rPr>
          <w:rFonts w:ascii="Calibri" w:hAnsi="Calibri"/>
        </w:rPr>
        <w:t xml:space="preserve">will likely </w:t>
      </w:r>
      <w:r w:rsidR="00CA0D80" w:rsidRPr="008710EE">
        <w:rPr>
          <w:rFonts w:ascii="Calibri" w:hAnsi="Calibri"/>
        </w:rPr>
        <w:t>have li</w:t>
      </w:r>
      <w:r w:rsidR="00B94AEE">
        <w:rPr>
          <w:rFonts w:ascii="Calibri" w:hAnsi="Calibri"/>
        </w:rPr>
        <w:t xml:space="preserve">mited </w:t>
      </w:r>
      <w:r w:rsidR="00CA0D80" w:rsidRPr="008710EE">
        <w:rPr>
          <w:rFonts w:ascii="Calibri" w:hAnsi="Calibri"/>
        </w:rPr>
        <w:t>incentive</w:t>
      </w:r>
      <w:r w:rsidR="00B94AEE">
        <w:rPr>
          <w:rFonts w:ascii="Calibri" w:hAnsi="Calibri"/>
        </w:rPr>
        <w:t>s</w:t>
      </w:r>
      <w:r w:rsidR="00CA0D80" w:rsidRPr="008710EE">
        <w:rPr>
          <w:rFonts w:ascii="Calibri" w:hAnsi="Calibri"/>
        </w:rPr>
        <w:t xml:space="preserve"> to participate in the MSH process.</w:t>
      </w:r>
    </w:p>
    <w:p w14:paraId="4EE99A1C" w14:textId="77777777" w:rsidR="00B94AEE" w:rsidRPr="008710EE" w:rsidRDefault="00B94AEE" w:rsidP="008710EE">
      <w:pPr>
        <w:rPr>
          <w:rFonts w:ascii="Calibri" w:hAnsi="Calibri"/>
        </w:rPr>
      </w:pPr>
    </w:p>
    <w:p w14:paraId="72CA0B1F" w14:textId="1FE387BC" w:rsidR="00CA0D80" w:rsidRDefault="00CA0D80" w:rsidP="008710EE">
      <w:pPr>
        <w:rPr>
          <w:rFonts w:ascii="Calibri" w:hAnsi="Calibri"/>
          <w:bCs/>
        </w:rPr>
      </w:pPr>
      <w:r w:rsidRPr="008710EE">
        <w:rPr>
          <w:rFonts w:ascii="Calibri" w:hAnsi="Calibri"/>
          <w:bCs/>
        </w:rPr>
        <w:t>The incentives for participation as identified by the Administration include building consumer trust and favorable treatment by the FTC if there is an enforcement action. But many companies may view the gain in consumer trust as speculative or marginal and might well prefer to wait until Congress acts before subjecting themselves to a code of conduct imposing new legal obligations.  Another possible incentive is the agency’s representation that, in the event of an enforcement action, it will treat favorably those companies that adhere to a code of conduct</w:t>
      </w:r>
      <w:r w:rsidR="00B94AEE">
        <w:rPr>
          <w:rFonts w:ascii="Calibri" w:hAnsi="Calibri"/>
          <w:bCs/>
        </w:rPr>
        <w:t>.</w:t>
      </w:r>
      <w:r w:rsidRPr="008710EE">
        <w:rPr>
          <w:rStyle w:val="FootnoteReference"/>
          <w:rFonts w:ascii="Calibri" w:hAnsi="Calibri"/>
          <w:bCs/>
        </w:rPr>
        <w:footnoteReference w:id="3"/>
      </w:r>
      <w:r w:rsidRPr="008710EE">
        <w:rPr>
          <w:rFonts w:ascii="Calibri" w:hAnsi="Calibri"/>
          <w:bCs/>
        </w:rPr>
        <w:t xml:space="preserve"> </w:t>
      </w:r>
      <w:r w:rsidR="00F85CDD">
        <w:rPr>
          <w:rFonts w:ascii="Calibri" w:hAnsi="Calibri"/>
          <w:bCs/>
        </w:rPr>
        <w:t xml:space="preserve"> </w:t>
      </w:r>
      <w:r w:rsidRPr="008710EE">
        <w:rPr>
          <w:rFonts w:ascii="Calibri" w:hAnsi="Calibri"/>
          <w:bCs/>
        </w:rPr>
        <w:t xml:space="preserve">Of course, companies that sit out </w:t>
      </w:r>
      <w:r w:rsidR="006A145A">
        <w:rPr>
          <w:rFonts w:ascii="Calibri" w:hAnsi="Calibri"/>
          <w:bCs/>
        </w:rPr>
        <w:t xml:space="preserve">the MSH process </w:t>
      </w:r>
      <w:r w:rsidRPr="008710EE">
        <w:rPr>
          <w:rFonts w:ascii="Calibri" w:hAnsi="Calibri"/>
          <w:bCs/>
        </w:rPr>
        <w:t xml:space="preserve">and free ride on other firms that do participate are indifferent to being treated favorably by the FTC because they have not agreed to adhere to a code </w:t>
      </w:r>
      <w:r w:rsidR="00EF4015">
        <w:rPr>
          <w:rFonts w:ascii="Calibri" w:hAnsi="Calibri"/>
          <w:bCs/>
        </w:rPr>
        <w:t>and so cannot be charged with acting “deceptively</w:t>
      </w:r>
      <w:r w:rsidR="004712BD">
        <w:rPr>
          <w:rFonts w:ascii="Calibri" w:hAnsi="Calibri"/>
          <w:bCs/>
        </w:rPr>
        <w:t>.</w:t>
      </w:r>
      <w:r w:rsidR="00EF4015">
        <w:rPr>
          <w:rFonts w:ascii="Calibri" w:hAnsi="Calibri"/>
          <w:bCs/>
        </w:rPr>
        <w:t>”</w:t>
      </w:r>
      <w:r w:rsidR="004712BD">
        <w:rPr>
          <w:rFonts w:ascii="Calibri" w:hAnsi="Calibri"/>
          <w:bCs/>
        </w:rPr>
        <w:t xml:space="preserve"> </w:t>
      </w:r>
      <w:r w:rsidR="00F85CDD">
        <w:rPr>
          <w:rFonts w:ascii="Calibri" w:hAnsi="Calibri"/>
          <w:bCs/>
        </w:rPr>
        <w:t xml:space="preserve"> </w:t>
      </w:r>
      <w:r w:rsidR="004712BD">
        <w:rPr>
          <w:rFonts w:ascii="Calibri" w:hAnsi="Calibri"/>
          <w:bCs/>
        </w:rPr>
        <w:t>(A</w:t>
      </w:r>
      <w:r w:rsidRPr="008710EE">
        <w:rPr>
          <w:rFonts w:ascii="Calibri" w:hAnsi="Calibri"/>
          <w:bCs/>
        </w:rPr>
        <w:t>nd</w:t>
      </w:r>
      <w:r w:rsidR="004712BD">
        <w:rPr>
          <w:rFonts w:ascii="Calibri" w:hAnsi="Calibri"/>
          <w:bCs/>
        </w:rPr>
        <w:t>,</w:t>
      </w:r>
      <w:r w:rsidRPr="008710EE">
        <w:rPr>
          <w:rFonts w:ascii="Calibri" w:hAnsi="Calibri"/>
          <w:bCs/>
        </w:rPr>
        <w:t xml:space="preserve"> as the Administrations notes in the </w:t>
      </w:r>
      <w:r w:rsidR="00C60D01">
        <w:rPr>
          <w:rFonts w:ascii="Calibri" w:hAnsi="Calibri"/>
          <w:bCs/>
        </w:rPr>
        <w:t>White Paper</w:t>
      </w:r>
      <w:r w:rsidRPr="008710EE">
        <w:rPr>
          <w:rFonts w:ascii="Calibri" w:hAnsi="Calibri"/>
          <w:bCs/>
        </w:rPr>
        <w:t xml:space="preserve">, the CPBR does not alter the FTC’s existing section 5 enforcement </w:t>
      </w:r>
      <w:r w:rsidR="00B94AEE" w:rsidRPr="008710EE">
        <w:rPr>
          <w:rFonts w:ascii="Calibri" w:hAnsi="Calibri"/>
          <w:bCs/>
        </w:rPr>
        <w:lastRenderedPageBreak/>
        <w:t>authorit</w:t>
      </w:r>
      <w:r w:rsidR="006A145A">
        <w:rPr>
          <w:rFonts w:ascii="Calibri" w:hAnsi="Calibri"/>
          <w:bCs/>
        </w:rPr>
        <w:t>y</w:t>
      </w:r>
      <w:r w:rsidRPr="008710EE">
        <w:rPr>
          <w:rFonts w:ascii="Calibri" w:hAnsi="Calibri"/>
          <w:bCs/>
        </w:rPr>
        <w:t>.</w:t>
      </w:r>
      <w:r w:rsidRPr="008710EE">
        <w:rPr>
          <w:rStyle w:val="FootnoteReference"/>
          <w:rFonts w:ascii="Calibri" w:hAnsi="Calibri"/>
          <w:bCs/>
        </w:rPr>
        <w:footnoteReference w:id="4"/>
      </w:r>
      <w:r w:rsidR="004712BD">
        <w:rPr>
          <w:rFonts w:ascii="Calibri" w:hAnsi="Calibri"/>
          <w:bCs/>
        </w:rPr>
        <w:t>)</w:t>
      </w:r>
      <w:r w:rsidR="00F85CDD">
        <w:rPr>
          <w:rFonts w:ascii="Calibri" w:hAnsi="Calibri"/>
          <w:bCs/>
        </w:rPr>
        <w:t xml:space="preserve"> </w:t>
      </w:r>
      <w:r w:rsidR="00B94AEE">
        <w:rPr>
          <w:rFonts w:ascii="Calibri" w:hAnsi="Calibri"/>
          <w:bCs/>
        </w:rPr>
        <w:t xml:space="preserve"> </w:t>
      </w:r>
      <w:r w:rsidRPr="008710EE">
        <w:rPr>
          <w:rFonts w:ascii="Calibri" w:hAnsi="Calibri"/>
          <w:bCs/>
        </w:rPr>
        <w:t xml:space="preserve">In sum, the proposed framework does </w:t>
      </w:r>
      <w:r w:rsidR="004712BD">
        <w:rPr>
          <w:rFonts w:ascii="Calibri" w:hAnsi="Calibri"/>
          <w:bCs/>
        </w:rPr>
        <w:t xml:space="preserve">too </w:t>
      </w:r>
      <w:r w:rsidRPr="008710EE">
        <w:rPr>
          <w:rFonts w:ascii="Calibri" w:hAnsi="Calibri"/>
          <w:bCs/>
        </w:rPr>
        <w:t>little to encourage companies to participate.</w:t>
      </w:r>
    </w:p>
    <w:p w14:paraId="4C199421" w14:textId="77777777" w:rsidR="00B94AEE" w:rsidRPr="008710EE" w:rsidRDefault="00B94AEE" w:rsidP="008710EE">
      <w:pPr>
        <w:rPr>
          <w:rFonts w:ascii="Calibri" w:hAnsi="Calibri"/>
          <w:bCs/>
        </w:rPr>
      </w:pPr>
    </w:p>
    <w:p w14:paraId="0C54972C" w14:textId="29D568F2" w:rsidR="00CA0D80" w:rsidRDefault="00B94AEE" w:rsidP="008710EE">
      <w:pPr>
        <w:rPr>
          <w:rFonts w:ascii="Calibri" w:hAnsi="Calibri"/>
          <w:bCs/>
        </w:rPr>
      </w:pPr>
      <w:r>
        <w:rPr>
          <w:rFonts w:ascii="Calibri" w:hAnsi="Calibri"/>
          <w:bCs/>
        </w:rPr>
        <w:t>Of course, new privacy l</w:t>
      </w:r>
      <w:r w:rsidR="00CA0D80" w:rsidRPr="008710EE">
        <w:rPr>
          <w:rFonts w:ascii="Calibri" w:hAnsi="Calibri"/>
          <w:bCs/>
        </w:rPr>
        <w:t>egislation could change this</w:t>
      </w:r>
      <w:r>
        <w:rPr>
          <w:rFonts w:ascii="Calibri" w:hAnsi="Calibri"/>
          <w:bCs/>
        </w:rPr>
        <w:t xml:space="preserve"> by </w:t>
      </w:r>
      <w:r w:rsidR="00AB194B" w:rsidRPr="008710EE">
        <w:rPr>
          <w:rFonts w:ascii="Calibri" w:hAnsi="Calibri"/>
          <w:bCs/>
        </w:rPr>
        <w:t>mak</w:t>
      </w:r>
      <w:r>
        <w:rPr>
          <w:rFonts w:ascii="Calibri" w:hAnsi="Calibri"/>
          <w:bCs/>
        </w:rPr>
        <w:t xml:space="preserve">ing </w:t>
      </w:r>
      <w:r w:rsidR="00AB194B" w:rsidRPr="008710EE">
        <w:rPr>
          <w:rFonts w:ascii="Calibri" w:hAnsi="Calibri"/>
          <w:bCs/>
        </w:rPr>
        <w:t>the CPBR</w:t>
      </w:r>
      <w:r w:rsidR="00CA0D80" w:rsidRPr="008710EE">
        <w:rPr>
          <w:rFonts w:ascii="Calibri" w:hAnsi="Calibri"/>
          <w:bCs/>
        </w:rPr>
        <w:t xml:space="preserve"> applicable to all covered entities, regardless of whether </w:t>
      </w:r>
      <w:r>
        <w:rPr>
          <w:rFonts w:ascii="Calibri" w:hAnsi="Calibri"/>
          <w:bCs/>
        </w:rPr>
        <w:t xml:space="preserve">or not </w:t>
      </w:r>
      <w:r w:rsidR="00CA0D80" w:rsidRPr="008710EE">
        <w:rPr>
          <w:rFonts w:ascii="Calibri" w:hAnsi="Calibri"/>
          <w:bCs/>
        </w:rPr>
        <w:t xml:space="preserve">they </w:t>
      </w:r>
      <w:r>
        <w:rPr>
          <w:rFonts w:ascii="Calibri" w:hAnsi="Calibri"/>
          <w:bCs/>
        </w:rPr>
        <w:t>participate in the MSH p</w:t>
      </w:r>
      <w:r w:rsidR="00AB194B" w:rsidRPr="008710EE">
        <w:rPr>
          <w:rFonts w:ascii="Calibri" w:hAnsi="Calibri"/>
          <w:bCs/>
        </w:rPr>
        <w:t>rocess</w:t>
      </w:r>
      <w:r>
        <w:rPr>
          <w:rFonts w:ascii="Calibri" w:hAnsi="Calibri"/>
          <w:bCs/>
        </w:rPr>
        <w:t>.</w:t>
      </w:r>
      <w:r w:rsidR="00AB194B" w:rsidRPr="008710EE">
        <w:rPr>
          <w:rFonts w:ascii="Calibri" w:hAnsi="Calibri"/>
          <w:bCs/>
        </w:rPr>
        <w:t xml:space="preserve"> </w:t>
      </w:r>
      <w:r w:rsidR="00F85CDD">
        <w:rPr>
          <w:rFonts w:ascii="Calibri" w:hAnsi="Calibri"/>
          <w:bCs/>
        </w:rPr>
        <w:t xml:space="preserve"> </w:t>
      </w:r>
      <w:r w:rsidR="00AB194B" w:rsidRPr="008710EE">
        <w:rPr>
          <w:rFonts w:ascii="Calibri" w:hAnsi="Calibri"/>
          <w:bCs/>
        </w:rPr>
        <w:t xml:space="preserve">This would bring free riding to an end </w:t>
      </w:r>
      <w:r w:rsidR="00C44829" w:rsidRPr="008710EE">
        <w:rPr>
          <w:rFonts w:ascii="Calibri" w:hAnsi="Calibri"/>
          <w:bCs/>
        </w:rPr>
        <w:t xml:space="preserve">because companies would then either </w:t>
      </w:r>
      <w:r w:rsidR="006A145A">
        <w:rPr>
          <w:rFonts w:ascii="Calibri" w:hAnsi="Calibri"/>
          <w:bCs/>
        </w:rPr>
        <w:t>choose</w:t>
      </w:r>
      <w:r w:rsidR="00C44829" w:rsidRPr="008710EE">
        <w:rPr>
          <w:rFonts w:ascii="Calibri" w:hAnsi="Calibri"/>
          <w:bCs/>
        </w:rPr>
        <w:t xml:space="preserve"> to follow </w:t>
      </w:r>
      <w:r w:rsidR="00AB194B" w:rsidRPr="008710EE">
        <w:rPr>
          <w:rFonts w:ascii="Calibri" w:hAnsi="Calibri"/>
          <w:bCs/>
        </w:rPr>
        <w:t xml:space="preserve">an FTC-approved code of conduct or </w:t>
      </w:r>
      <w:r w:rsidR="006A145A">
        <w:rPr>
          <w:rFonts w:ascii="Calibri" w:hAnsi="Calibri"/>
          <w:bCs/>
        </w:rPr>
        <w:t xml:space="preserve">be </w:t>
      </w:r>
      <w:r w:rsidR="00AB194B" w:rsidRPr="008710EE">
        <w:rPr>
          <w:rFonts w:ascii="Calibri" w:hAnsi="Calibri"/>
          <w:bCs/>
        </w:rPr>
        <w:t>subject to “</w:t>
      </w:r>
      <w:r w:rsidR="00AB194B" w:rsidRPr="008710EE">
        <w:rPr>
          <w:rFonts w:ascii="Calibri" w:hAnsi="Calibri" w:cs="Myriad Pro"/>
          <w:color w:val="000000"/>
        </w:rPr>
        <w:t>the general obligations of the legislatively adopted Consumer Privacy Bill of Rights.”</w:t>
      </w:r>
      <w:r w:rsidR="00AB194B" w:rsidRPr="008710EE">
        <w:rPr>
          <w:rStyle w:val="FootnoteReference"/>
          <w:rFonts w:ascii="Calibri" w:hAnsi="Calibri" w:cs="Myriad Pro"/>
          <w:color w:val="000000"/>
        </w:rPr>
        <w:footnoteReference w:id="5"/>
      </w:r>
      <w:r w:rsidR="00AB194B" w:rsidRPr="008710EE">
        <w:rPr>
          <w:rFonts w:ascii="Calibri" w:hAnsi="Calibri"/>
          <w:bCs/>
        </w:rPr>
        <w:t xml:space="preserve">  Moreover, </w:t>
      </w:r>
      <w:r w:rsidR="006A145A">
        <w:rPr>
          <w:rFonts w:ascii="Calibri" w:hAnsi="Calibri"/>
          <w:bCs/>
        </w:rPr>
        <w:t xml:space="preserve">as the Administration recommends, </w:t>
      </w:r>
      <w:r w:rsidR="00A66E00" w:rsidRPr="008710EE">
        <w:rPr>
          <w:rFonts w:ascii="Calibri" w:hAnsi="Calibri"/>
          <w:bCs/>
        </w:rPr>
        <w:t xml:space="preserve">such legislation could </w:t>
      </w:r>
      <w:r w:rsidR="006A145A">
        <w:rPr>
          <w:rFonts w:ascii="Calibri" w:hAnsi="Calibri"/>
          <w:bCs/>
        </w:rPr>
        <w:t xml:space="preserve">establish a safe harbor mechanism such </w:t>
      </w:r>
      <w:r w:rsidR="00A66E00" w:rsidRPr="008710EE">
        <w:rPr>
          <w:rFonts w:ascii="Calibri" w:hAnsi="Calibri"/>
          <w:bCs/>
        </w:rPr>
        <w:t xml:space="preserve">that </w:t>
      </w:r>
      <w:r w:rsidR="00AB194B" w:rsidRPr="008710EE">
        <w:rPr>
          <w:rFonts w:ascii="Calibri" w:hAnsi="Calibri"/>
          <w:bCs/>
        </w:rPr>
        <w:t>firms that comply with an MSH code</w:t>
      </w:r>
      <w:r w:rsidR="00A66E00" w:rsidRPr="008710EE">
        <w:rPr>
          <w:rFonts w:ascii="Calibri" w:hAnsi="Calibri"/>
          <w:bCs/>
        </w:rPr>
        <w:t xml:space="preserve"> receive favorable treatment in an</w:t>
      </w:r>
      <w:r w:rsidR="006A145A">
        <w:rPr>
          <w:rFonts w:ascii="Calibri" w:hAnsi="Calibri"/>
          <w:bCs/>
        </w:rPr>
        <w:t>y</w:t>
      </w:r>
      <w:r w:rsidR="00A66E00" w:rsidRPr="008710EE">
        <w:rPr>
          <w:rFonts w:ascii="Calibri" w:hAnsi="Calibri"/>
          <w:bCs/>
        </w:rPr>
        <w:t xml:space="preserve"> enforcement </w:t>
      </w:r>
      <w:r w:rsidR="006A145A">
        <w:rPr>
          <w:rFonts w:ascii="Calibri" w:hAnsi="Calibri"/>
          <w:bCs/>
        </w:rPr>
        <w:t>action.</w:t>
      </w:r>
      <w:r w:rsidR="004914A0">
        <w:rPr>
          <w:rFonts w:ascii="Calibri" w:hAnsi="Calibri"/>
          <w:bCs/>
        </w:rPr>
        <w:t xml:space="preserve"> </w:t>
      </w:r>
      <w:r w:rsidR="00AB194B" w:rsidRPr="008710EE">
        <w:rPr>
          <w:rFonts w:ascii="Calibri" w:hAnsi="Calibri"/>
          <w:bCs/>
        </w:rPr>
        <w:t>This</w:t>
      </w:r>
      <w:r w:rsidR="006A145A">
        <w:rPr>
          <w:rFonts w:ascii="Calibri" w:hAnsi="Calibri"/>
          <w:bCs/>
        </w:rPr>
        <w:t xml:space="preserve"> benefit</w:t>
      </w:r>
      <w:r w:rsidR="00AB194B" w:rsidRPr="008710EE">
        <w:rPr>
          <w:rFonts w:ascii="Calibri" w:hAnsi="Calibri"/>
          <w:bCs/>
        </w:rPr>
        <w:t xml:space="preserve">, along with code’s </w:t>
      </w:r>
      <w:r w:rsidR="00A66E00" w:rsidRPr="008710EE">
        <w:rPr>
          <w:rFonts w:ascii="Calibri" w:hAnsi="Calibri"/>
          <w:bCs/>
        </w:rPr>
        <w:t>general role in clarifying how the CPBR applies</w:t>
      </w:r>
      <w:r w:rsidR="00AB194B" w:rsidRPr="008710EE">
        <w:rPr>
          <w:rFonts w:ascii="Calibri" w:hAnsi="Calibri"/>
          <w:bCs/>
        </w:rPr>
        <w:t>, c</w:t>
      </w:r>
      <w:r w:rsidR="0045349D" w:rsidRPr="008710EE">
        <w:rPr>
          <w:rFonts w:ascii="Calibri" w:hAnsi="Calibri"/>
          <w:bCs/>
        </w:rPr>
        <w:t>ould provide firms with signific</w:t>
      </w:r>
      <w:r w:rsidR="00AB194B" w:rsidRPr="008710EE">
        <w:rPr>
          <w:rFonts w:ascii="Calibri" w:hAnsi="Calibri"/>
          <w:bCs/>
        </w:rPr>
        <w:t xml:space="preserve">ant incentives to join </w:t>
      </w:r>
      <w:r w:rsidR="006A145A">
        <w:rPr>
          <w:rFonts w:ascii="Calibri" w:hAnsi="Calibri"/>
          <w:bCs/>
        </w:rPr>
        <w:t>the</w:t>
      </w:r>
      <w:r w:rsidR="006A145A" w:rsidRPr="008710EE">
        <w:rPr>
          <w:rFonts w:ascii="Calibri" w:hAnsi="Calibri"/>
          <w:bCs/>
        </w:rPr>
        <w:t xml:space="preserve"> </w:t>
      </w:r>
      <w:r w:rsidR="00AB194B" w:rsidRPr="008710EE">
        <w:rPr>
          <w:rFonts w:ascii="Calibri" w:hAnsi="Calibri"/>
          <w:bCs/>
        </w:rPr>
        <w:t xml:space="preserve">MSH process and agree to abide by </w:t>
      </w:r>
      <w:r w:rsidR="006A145A">
        <w:rPr>
          <w:rFonts w:ascii="Calibri" w:hAnsi="Calibri"/>
          <w:bCs/>
        </w:rPr>
        <w:t xml:space="preserve">a relevant </w:t>
      </w:r>
      <w:r w:rsidR="00AB194B" w:rsidRPr="008710EE">
        <w:rPr>
          <w:rFonts w:ascii="Calibri" w:hAnsi="Calibri"/>
          <w:bCs/>
        </w:rPr>
        <w:t>code.</w:t>
      </w:r>
    </w:p>
    <w:p w14:paraId="24383D04" w14:textId="77777777" w:rsidR="004914A0" w:rsidRDefault="004914A0" w:rsidP="004914A0">
      <w:pPr>
        <w:rPr>
          <w:rFonts w:ascii="Calibri" w:hAnsi="Calibri"/>
          <w:bCs/>
        </w:rPr>
      </w:pPr>
    </w:p>
    <w:p w14:paraId="1C89879D" w14:textId="7B27DD35" w:rsidR="00AB3A61" w:rsidRDefault="00CA0D80" w:rsidP="004914A0">
      <w:pPr>
        <w:rPr>
          <w:rFonts w:ascii="Calibri" w:hAnsi="Calibri"/>
          <w:bCs/>
        </w:rPr>
      </w:pPr>
      <w:r w:rsidRPr="008710EE">
        <w:rPr>
          <w:rFonts w:ascii="Calibri" w:hAnsi="Calibri"/>
          <w:bCs/>
        </w:rPr>
        <w:t>The question</w:t>
      </w:r>
      <w:r w:rsidR="004914A0">
        <w:rPr>
          <w:rFonts w:ascii="Calibri" w:hAnsi="Calibri"/>
          <w:bCs/>
        </w:rPr>
        <w:t xml:space="preserve">, then, </w:t>
      </w:r>
      <w:r w:rsidRPr="008710EE">
        <w:rPr>
          <w:rFonts w:ascii="Calibri" w:hAnsi="Calibri"/>
          <w:bCs/>
        </w:rPr>
        <w:t>is how to change the incentives</w:t>
      </w:r>
      <w:r w:rsidR="00AB194B" w:rsidRPr="008710EE">
        <w:rPr>
          <w:rFonts w:ascii="Calibri" w:hAnsi="Calibri"/>
          <w:bCs/>
        </w:rPr>
        <w:t>, and get companies to participate in the MSH process</w:t>
      </w:r>
      <w:r w:rsidR="004914A0">
        <w:rPr>
          <w:rFonts w:ascii="Calibri" w:hAnsi="Calibri"/>
          <w:bCs/>
        </w:rPr>
        <w:t xml:space="preserve"> now</w:t>
      </w:r>
      <w:r w:rsidR="00AB194B" w:rsidRPr="008710EE">
        <w:rPr>
          <w:rFonts w:ascii="Calibri" w:hAnsi="Calibri"/>
          <w:bCs/>
        </w:rPr>
        <w:t>,</w:t>
      </w:r>
      <w:r w:rsidR="00F4511A" w:rsidRPr="008710EE">
        <w:rPr>
          <w:rFonts w:ascii="Calibri" w:hAnsi="Calibri"/>
          <w:bCs/>
        </w:rPr>
        <w:t xml:space="preserve"> prior to the passage</w:t>
      </w:r>
      <w:r w:rsidRPr="008710EE">
        <w:rPr>
          <w:rFonts w:ascii="Calibri" w:hAnsi="Calibri"/>
          <w:bCs/>
        </w:rPr>
        <w:t xml:space="preserve"> of legislation. </w:t>
      </w:r>
      <w:r w:rsidR="00F85CDD">
        <w:rPr>
          <w:rFonts w:ascii="Calibri" w:hAnsi="Calibri"/>
          <w:bCs/>
        </w:rPr>
        <w:t xml:space="preserve"> </w:t>
      </w:r>
      <w:r w:rsidR="00C44829" w:rsidRPr="008710EE">
        <w:rPr>
          <w:rFonts w:ascii="Calibri" w:hAnsi="Calibri"/>
          <w:bCs/>
        </w:rPr>
        <w:t xml:space="preserve">We believe that </w:t>
      </w:r>
      <w:r w:rsidRPr="008710EE">
        <w:rPr>
          <w:rFonts w:ascii="Calibri" w:hAnsi="Calibri"/>
          <w:bCs/>
        </w:rPr>
        <w:t xml:space="preserve">FTC could </w:t>
      </w:r>
      <w:r w:rsidR="003B613E">
        <w:rPr>
          <w:rFonts w:ascii="Calibri" w:hAnsi="Calibri"/>
          <w:bCs/>
        </w:rPr>
        <w:t>accomplish</w:t>
      </w:r>
      <w:r w:rsidR="00AB194B" w:rsidRPr="008710EE">
        <w:rPr>
          <w:rFonts w:ascii="Calibri" w:hAnsi="Calibri"/>
          <w:bCs/>
        </w:rPr>
        <w:t xml:space="preserve"> this </w:t>
      </w:r>
      <w:r w:rsidRPr="008710EE">
        <w:rPr>
          <w:rFonts w:ascii="Calibri" w:hAnsi="Calibri"/>
          <w:bCs/>
        </w:rPr>
        <w:t xml:space="preserve">through </w:t>
      </w:r>
      <w:r w:rsidR="00F4511A" w:rsidRPr="008710EE">
        <w:rPr>
          <w:rFonts w:ascii="Calibri" w:hAnsi="Calibri"/>
          <w:bCs/>
        </w:rPr>
        <w:t xml:space="preserve">a three-pronged </w:t>
      </w:r>
      <w:r w:rsidR="00C44829" w:rsidRPr="008710EE">
        <w:rPr>
          <w:rFonts w:ascii="Calibri" w:hAnsi="Calibri"/>
          <w:bCs/>
        </w:rPr>
        <w:t>enforcement strategy</w:t>
      </w:r>
      <w:r w:rsidR="003B613E">
        <w:rPr>
          <w:rFonts w:ascii="Calibri" w:hAnsi="Calibri"/>
          <w:bCs/>
        </w:rPr>
        <w:t xml:space="preserve"> that builds on recent, creative use of both prongs of the FTC’s enforcement authority, but especially the unfairness prong</w:t>
      </w:r>
      <w:r w:rsidR="00C44829" w:rsidRPr="008710EE">
        <w:rPr>
          <w:rFonts w:ascii="Calibri" w:hAnsi="Calibri"/>
          <w:bCs/>
        </w:rPr>
        <w:t>.</w:t>
      </w:r>
    </w:p>
    <w:p w14:paraId="63245E9C" w14:textId="77777777" w:rsidR="004914A0" w:rsidRDefault="00C44829" w:rsidP="004914A0">
      <w:pPr>
        <w:rPr>
          <w:rFonts w:ascii="Calibri" w:hAnsi="Calibri"/>
          <w:bCs/>
        </w:rPr>
      </w:pPr>
      <w:r w:rsidRPr="008710EE">
        <w:rPr>
          <w:rFonts w:ascii="Calibri" w:hAnsi="Calibri"/>
          <w:bCs/>
        </w:rPr>
        <w:t xml:space="preserve"> </w:t>
      </w:r>
    </w:p>
    <w:p w14:paraId="054E78F1" w14:textId="116B46E0" w:rsidR="00826BA5" w:rsidRDefault="00C44829" w:rsidP="00826BA5">
      <w:pPr>
        <w:pStyle w:val="ListParagraph"/>
        <w:widowControl w:val="0"/>
        <w:numPr>
          <w:ilvl w:val="0"/>
          <w:numId w:val="7"/>
        </w:numPr>
        <w:autoSpaceDE w:val="0"/>
        <w:autoSpaceDN w:val="0"/>
        <w:adjustRightInd w:val="0"/>
        <w:rPr>
          <w:rFonts w:ascii="Calibri" w:hAnsi="Calibri"/>
        </w:rPr>
      </w:pPr>
      <w:r w:rsidRPr="004914A0">
        <w:rPr>
          <w:rFonts w:ascii="Calibri" w:hAnsi="Calibri" w:cs="Times New Roman"/>
        </w:rPr>
        <w:t xml:space="preserve">First, just as the </w:t>
      </w:r>
      <w:r w:rsidR="00C60D01">
        <w:rPr>
          <w:rFonts w:ascii="Calibri" w:hAnsi="Calibri" w:cs="Times New Roman"/>
        </w:rPr>
        <w:t>White Paper</w:t>
      </w:r>
      <w:r w:rsidRPr="004914A0">
        <w:rPr>
          <w:rFonts w:ascii="Calibri" w:hAnsi="Calibri" w:cs="Times New Roman"/>
        </w:rPr>
        <w:t xml:space="preserve"> suggests that </w:t>
      </w:r>
      <w:r w:rsidRPr="004914A0">
        <w:rPr>
          <w:rFonts w:ascii="Calibri" w:hAnsi="Calibri"/>
        </w:rPr>
        <w:t xml:space="preserve">new codes of conduct emerging from the </w:t>
      </w:r>
      <w:r w:rsidR="004712BD">
        <w:rPr>
          <w:rFonts w:ascii="Calibri" w:hAnsi="Calibri"/>
        </w:rPr>
        <w:t>MSH</w:t>
      </w:r>
      <w:r w:rsidRPr="004914A0">
        <w:rPr>
          <w:rFonts w:ascii="Calibri" w:hAnsi="Calibri"/>
        </w:rPr>
        <w:t xml:space="preserve"> process, once agreed to by companies, are enforceable under section 5, so too should </w:t>
      </w:r>
      <w:r w:rsidR="004914A0" w:rsidRPr="004914A0">
        <w:rPr>
          <w:rFonts w:ascii="Calibri" w:hAnsi="Calibri"/>
        </w:rPr>
        <w:t xml:space="preserve">the FTC treat all existing codes of conduct as enforceable under section 5. </w:t>
      </w:r>
      <w:r w:rsidR="00F85CDD">
        <w:rPr>
          <w:rFonts w:ascii="Calibri" w:hAnsi="Calibri"/>
        </w:rPr>
        <w:t xml:space="preserve"> </w:t>
      </w:r>
      <w:r w:rsidRPr="004914A0">
        <w:rPr>
          <w:rFonts w:ascii="Calibri" w:hAnsi="Calibri"/>
        </w:rPr>
        <w:t xml:space="preserve">This would level the playing field to some extent between firms who participate in </w:t>
      </w:r>
      <w:r w:rsidR="003B613E">
        <w:rPr>
          <w:rFonts w:ascii="Calibri" w:hAnsi="Calibri"/>
        </w:rPr>
        <w:t>the</w:t>
      </w:r>
      <w:r w:rsidRPr="004914A0">
        <w:rPr>
          <w:rFonts w:ascii="Calibri" w:hAnsi="Calibri"/>
        </w:rPr>
        <w:t xml:space="preserve"> MSH process</w:t>
      </w:r>
      <w:r w:rsidR="00F4511A" w:rsidRPr="004914A0">
        <w:rPr>
          <w:rFonts w:ascii="Calibri" w:hAnsi="Calibri"/>
        </w:rPr>
        <w:t xml:space="preserve"> and those </w:t>
      </w:r>
      <w:r w:rsidR="004712BD">
        <w:rPr>
          <w:rFonts w:ascii="Calibri" w:hAnsi="Calibri"/>
        </w:rPr>
        <w:t xml:space="preserve">who draft </w:t>
      </w:r>
      <w:r w:rsidR="00F4511A" w:rsidRPr="004914A0">
        <w:rPr>
          <w:rFonts w:ascii="Calibri" w:hAnsi="Calibri"/>
        </w:rPr>
        <w:t>their own voluntary codes</w:t>
      </w:r>
      <w:r w:rsidR="004914A0" w:rsidRPr="004914A0">
        <w:rPr>
          <w:rFonts w:ascii="Calibri" w:hAnsi="Calibri"/>
        </w:rPr>
        <w:t xml:space="preserve">. </w:t>
      </w:r>
      <w:r w:rsidRPr="004914A0">
        <w:rPr>
          <w:rFonts w:ascii="Calibri" w:hAnsi="Calibri"/>
        </w:rPr>
        <w:t xml:space="preserve">To increase </w:t>
      </w:r>
      <w:r w:rsidR="00F4511A" w:rsidRPr="004914A0">
        <w:rPr>
          <w:rFonts w:ascii="Calibri" w:hAnsi="Calibri"/>
        </w:rPr>
        <w:t>the incentive</w:t>
      </w:r>
      <w:r w:rsidRPr="004914A0">
        <w:rPr>
          <w:rFonts w:ascii="Calibri" w:hAnsi="Calibri"/>
        </w:rPr>
        <w:t xml:space="preserve"> to participate, </w:t>
      </w:r>
      <w:r w:rsidR="004914A0" w:rsidRPr="004914A0">
        <w:rPr>
          <w:rFonts w:ascii="Calibri" w:hAnsi="Calibri"/>
        </w:rPr>
        <w:t xml:space="preserve">the </w:t>
      </w:r>
      <w:r w:rsidR="004712BD">
        <w:rPr>
          <w:rFonts w:ascii="Calibri" w:hAnsi="Calibri"/>
        </w:rPr>
        <w:t xml:space="preserve">FTC </w:t>
      </w:r>
      <w:r w:rsidR="004914A0" w:rsidRPr="004914A0">
        <w:rPr>
          <w:rFonts w:ascii="Calibri" w:hAnsi="Calibri"/>
        </w:rPr>
        <w:t xml:space="preserve">should develop a policy under which </w:t>
      </w:r>
      <w:r w:rsidRPr="004914A0">
        <w:rPr>
          <w:rFonts w:ascii="Calibri" w:hAnsi="Calibri"/>
        </w:rPr>
        <w:t xml:space="preserve">firms that participate in a MSH code are entitled to favorable treatment in the event of enforcement, while firms that </w:t>
      </w:r>
      <w:r w:rsidR="00D554D7" w:rsidRPr="004914A0">
        <w:rPr>
          <w:rFonts w:ascii="Calibri" w:hAnsi="Calibri"/>
        </w:rPr>
        <w:t>follow their own, presumably weaker, code</w:t>
      </w:r>
      <w:r w:rsidR="004712BD">
        <w:rPr>
          <w:rFonts w:ascii="Calibri" w:hAnsi="Calibri"/>
        </w:rPr>
        <w:t>s</w:t>
      </w:r>
      <w:r w:rsidR="00D554D7" w:rsidRPr="004914A0">
        <w:rPr>
          <w:rFonts w:ascii="Calibri" w:hAnsi="Calibri"/>
        </w:rPr>
        <w:t xml:space="preserve"> are not.  Thus, to receive </w:t>
      </w:r>
      <w:r w:rsidRPr="004914A0">
        <w:rPr>
          <w:rFonts w:ascii="Calibri" w:hAnsi="Calibri"/>
        </w:rPr>
        <w:t>favorable treatment</w:t>
      </w:r>
      <w:r w:rsidR="00D554D7" w:rsidRPr="004914A0">
        <w:rPr>
          <w:rFonts w:ascii="Calibri" w:hAnsi="Calibri"/>
        </w:rPr>
        <w:t xml:space="preserve"> </w:t>
      </w:r>
      <w:r w:rsidRPr="004914A0">
        <w:rPr>
          <w:rFonts w:ascii="Calibri" w:hAnsi="Calibri"/>
        </w:rPr>
        <w:t>these companies</w:t>
      </w:r>
      <w:r w:rsidR="00D554D7" w:rsidRPr="004914A0">
        <w:rPr>
          <w:rFonts w:ascii="Calibri" w:hAnsi="Calibri"/>
        </w:rPr>
        <w:t>, too,</w:t>
      </w:r>
      <w:r w:rsidRPr="004914A0">
        <w:rPr>
          <w:rFonts w:ascii="Calibri" w:hAnsi="Calibri"/>
        </w:rPr>
        <w:t xml:space="preserve"> would </w:t>
      </w:r>
      <w:r w:rsidR="004712BD">
        <w:rPr>
          <w:rFonts w:ascii="Calibri" w:hAnsi="Calibri"/>
        </w:rPr>
        <w:t>have to submit themselves to a</w:t>
      </w:r>
      <w:r w:rsidRPr="004914A0">
        <w:rPr>
          <w:rFonts w:ascii="Calibri" w:hAnsi="Calibri"/>
        </w:rPr>
        <w:t xml:space="preserve"> </w:t>
      </w:r>
      <w:r w:rsidR="004712BD">
        <w:rPr>
          <w:rFonts w:ascii="Calibri" w:hAnsi="Calibri"/>
        </w:rPr>
        <w:t>MSH</w:t>
      </w:r>
      <w:r w:rsidRPr="004914A0">
        <w:rPr>
          <w:rFonts w:ascii="Calibri" w:hAnsi="Calibri"/>
        </w:rPr>
        <w:t xml:space="preserve"> process, even if this </w:t>
      </w:r>
      <w:r w:rsidR="004712BD">
        <w:rPr>
          <w:rFonts w:ascii="Calibri" w:hAnsi="Calibri"/>
        </w:rPr>
        <w:t xml:space="preserve">results in changes to </w:t>
      </w:r>
      <w:r w:rsidRPr="004914A0">
        <w:rPr>
          <w:rFonts w:ascii="Calibri" w:hAnsi="Calibri"/>
        </w:rPr>
        <w:t>their existing code</w:t>
      </w:r>
      <w:r w:rsidR="004712BD">
        <w:rPr>
          <w:rFonts w:ascii="Calibri" w:hAnsi="Calibri"/>
        </w:rPr>
        <w:t>.</w:t>
      </w:r>
      <w:r w:rsidR="004712BD">
        <w:rPr>
          <w:rStyle w:val="FootnoteReference"/>
          <w:rFonts w:ascii="Calibri" w:hAnsi="Calibri"/>
        </w:rPr>
        <w:footnoteReference w:id="6"/>
      </w:r>
      <w:r w:rsidRPr="004914A0">
        <w:rPr>
          <w:rFonts w:ascii="Calibri" w:hAnsi="Calibri"/>
        </w:rPr>
        <w:t xml:space="preserve"> </w:t>
      </w:r>
    </w:p>
    <w:p w14:paraId="2E82691A" w14:textId="77777777" w:rsidR="00AB3A61" w:rsidRDefault="00AB3A61" w:rsidP="00AB3A61">
      <w:pPr>
        <w:pStyle w:val="ListParagraph"/>
        <w:widowControl w:val="0"/>
        <w:autoSpaceDE w:val="0"/>
        <w:autoSpaceDN w:val="0"/>
        <w:adjustRightInd w:val="0"/>
        <w:rPr>
          <w:rFonts w:ascii="Calibri" w:hAnsi="Calibri"/>
        </w:rPr>
      </w:pPr>
    </w:p>
    <w:p w14:paraId="5C06E316" w14:textId="71B7C5FF" w:rsidR="00826BA5" w:rsidRDefault="004914A0" w:rsidP="00826BA5">
      <w:pPr>
        <w:pStyle w:val="ListParagraph"/>
        <w:widowControl w:val="0"/>
        <w:numPr>
          <w:ilvl w:val="0"/>
          <w:numId w:val="7"/>
        </w:numPr>
        <w:autoSpaceDE w:val="0"/>
        <w:autoSpaceDN w:val="0"/>
        <w:adjustRightInd w:val="0"/>
        <w:rPr>
          <w:rFonts w:ascii="Calibri" w:hAnsi="Calibri"/>
        </w:rPr>
      </w:pPr>
      <w:r w:rsidRPr="00826BA5">
        <w:rPr>
          <w:rFonts w:ascii="Calibri" w:hAnsi="Calibri"/>
        </w:rPr>
        <w:t xml:space="preserve">Second, in order to incentivize firms in the second group, (i.e., those that are not subject to an existing code and that have reason to stay away from the process since participation would bring them within the scope of FTC’s section 5 </w:t>
      </w:r>
      <w:r w:rsidR="003B613E">
        <w:rPr>
          <w:rFonts w:ascii="Calibri" w:hAnsi="Calibri"/>
        </w:rPr>
        <w:t xml:space="preserve">“code of conduct” </w:t>
      </w:r>
      <w:r w:rsidRPr="00826BA5">
        <w:rPr>
          <w:rFonts w:ascii="Calibri" w:hAnsi="Calibri"/>
        </w:rPr>
        <w:t xml:space="preserve">jurisdiction, thereby increasing their enforcement risk), </w:t>
      </w:r>
      <w:r w:rsidR="00D554D7" w:rsidRPr="00826BA5">
        <w:rPr>
          <w:rFonts w:ascii="Calibri" w:hAnsi="Calibri"/>
        </w:rPr>
        <w:t xml:space="preserve">the FTC </w:t>
      </w:r>
      <w:r w:rsidRPr="00826BA5">
        <w:rPr>
          <w:rFonts w:ascii="Calibri" w:hAnsi="Calibri"/>
        </w:rPr>
        <w:t>should</w:t>
      </w:r>
      <w:r w:rsidR="00D554D7" w:rsidRPr="00826BA5">
        <w:rPr>
          <w:rFonts w:ascii="Calibri" w:hAnsi="Calibri"/>
        </w:rPr>
        <w:t xml:space="preserve"> </w:t>
      </w:r>
      <w:r w:rsidR="00C44829" w:rsidRPr="00826BA5">
        <w:rPr>
          <w:rFonts w:ascii="Calibri" w:hAnsi="Calibri"/>
        </w:rPr>
        <w:t xml:space="preserve">devote more resources to enforcing the U.S.-E.U. Safe Harbor Agreement </w:t>
      </w:r>
      <w:r w:rsidR="00C44829" w:rsidRPr="00826BA5">
        <w:rPr>
          <w:rFonts w:ascii="Calibri" w:hAnsi="Calibri"/>
        </w:rPr>
        <w:lastRenderedPageBreak/>
        <w:t>(“SHA”)</w:t>
      </w:r>
      <w:r w:rsidRPr="00826BA5">
        <w:rPr>
          <w:rFonts w:ascii="Calibri" w:hAnsi="Calibri"/>
        </w:rPr>
        <w:t xml:space="preserve">. </w:t>
      </w:r>
      <w:r w:rsidR="00F85CDD">
        <w:rPr>
          <w:rFonts w:ascii="Calibri" w:hAnsi="Calibri"/>
        </w:rPr>
        <w:t xml:space="preserve"> </w:t>
      </w:r>
      <w:r w:rsidR="008E6633" w:rsidRPr="00826BA5">
        <w:rPr>
          <w:rFonts w:ascii="Calibri" w:hAnsi="Calibri"/>
        </w:rPr>
        <w:t>Several thousand companies have signed on to th</w:t>
      </w:r>
      <w:r w:rsidRPr="00826BA5">
        <w:rPr>
          <w:rFonts w:ascii="Calibri" w:hAnsi="Calibri"/>
        </w:rPr>
        <w:t xml:space="preserve">e SHA </w:t>
      </w:r>
      <w:r w:rsidR="008E6633" w:rsidRPr="00826BA5">
        <w:rPr>
          <w:rFonts w:ascii="Calibri" w:hAnsi="Calibri"/>
        </w:rPr>
        <w:t xml:space="preserve">since it came into force </w:t>
      </w:r>
      <w:r w:rsidR="00C44829" w:rsidRPr="00826BA5">
        <w:rPr>
          <w:rFonts w:ascii="Calibri" w:hAnsi="Calibri"/>
        </w:rPr>
        <w:t>in 2000. In theory, this makes them s</w:t>
      </w:r>
      <w:r w:rsidR="008E6633" w:rsidRPr="00826BA5">
        <w:rPr>
          <w:rFonts w:ascii="Calibri" w:hAnsi="Calibri"/>
        </w:rPr>
        <w:t>ubject to s</w:t>
      </w:r>
      <w:r w:rsidR="00C44829" w:rsidRPr="00826BA5">
        <w:rPr>
          <w:rFonts w:ascii="Calibri" w:hAnsi="Calibri"/>
        </w:rPr>
        <w:t xml:space="preserve">ection 5 jurisdiction, although </w:t>
      </w:r>
      <w:r w:rsidR="00D554D7" w:rsidRPr="00826BA5">
        <w:rPr>
          <w:rFonts w:ascii="Calibri" w:hAnsi="Calibri"/>
        </w:rPr>
        <w:t xml:space="preserve">it was </w:t>
      </w:r>
      <w:r w:rsidR="00C44829" w:rsidRPr="00826BA5">
        <w:rPr>
          <w:rFonts w:ascii="Calibri" w:hAnsi="Calibri"/>
        </w:rPr>
        <w:t xml:space="preserve">not until very recently </w:t>
      </w:r>
      <w:r w:rsidR="00D554D7" w:rsidRPr="00826BA5">
        <w:rPr>
          <w:rFonts w:ascii="Calibri" w:hAnsi="Calibri"/>
        </w:rPr>
        <w:t xml:space="preserve">that </w:t>
      </w:r>
      <w:r w:rsidR="00C44829" w:rsidRPr="00826BA5">
        <w:rPr>
          <w:rFonts w:ascii="Calibri" w:hAnsi="Calibri"/>
        </w:rPr>
        <w:t xml:space="preserve">the FTC </w:t>
      </w:r>
      <w:r w:rsidR="00C44829" w:rsidRPr="00826BA5">
        <w:rPr>
          <w:rFonts w:ascii="Calibri" w:hAnsi="Calibri" w:cs="Times New Roman"/>
        </w:rPr>
        <w:t>announced its first enforcement action against a U.S. company for violation of the SHA.</w:t>
      </w:r>
      <w:r w:rsidR="00F85CDD">
        <w:rPr>
          <w:rFonts w:ascii="Calibri" w:hAnsi="Calibri" w:cs="Times New Roman"/>
        </w:rPr>
        <w:t xml:space="preserve"> </w:t>
      </w:r>
      <w:r w:rsidR="00C44829" w:rsidRPr="00826BA5">
        <w:rPr>
          <w:rFonts w:ascii="Calibri" w:hAnsi="Calibri" w:cs="Times New Roman"/>
        </w:rPr>
        <w:t xml:space="preserve"> </w:t>
      </w:r>
      <w:r w:rsidR="00D554D7" w:rsidRPr="00826BA5">
        <w:rPr>
          <w:rFonts w:ascii="Calibri" w:hAnsi="Calibri" w:cs="Times New Roman"/>
        </w:rPr>
        <w:t xml:space="preserve">If </w:t>
      </w:r>
      <w:r w:rsidR="008E6633" w:rsidRPr="00826BA5">
        <w:rPr>
          <w:rFonts w:ascii="Calibri" w:hAnsi="Calibri" w:cs="Times New Roman"/>
        </w:rPr>
        <w:t xml:space="preserve">the </w:t>
      </w:r>
      <w:r w:rsidR="00D554D7" w:rsidRPr="00826BA5">
        <w:rPr>
          <w:rFonts w:ascii="Calibri" w:hAnsi="Calibri" w:cs="Times New Roman"/>
        </w:rPr>
        <w:t xml:space="preserve">FTC were to </w:t>
      </w:r>
      <w:r w:rsidR="008E6633" w:rsidRPr="00826BA5">
        <w:rPr>
          <w:rFonts w:ascii="Calibri" w:hAnsi="Calibri" w:cs="Times New Roman"/>
        </w:rPr>
        <w:t xml:space="preserve">begin to </w:t>
      </w:r>
      <w:r w:rsidR="009D2F66" w:rsidRPr="00826BA5">
        <w:rPr>
          <w:rFonts w:ascii="Calibri" w:hAnsi="Calibri" w:cs="Times New Roman"/>
        </w:rPr>
        <w:t>enforce the SHA more vigorously</w:t>
      </w:r>
      <w:r w:rsidR="008E6633" w:rsidRPr="00826BA5">
        <w:rPr>
          <w:rFonts w:ascii="Calibri" w:hAnsi="Calibri" w:cs="Times New Roman"/>
        </w:rPr>
        <w:t>,</w:t>
      </w:r>
      <w:r w:rsidR="00D554D7" w:rsidRPr="00826BA5">
        <w:rPr>
          <w:rFonts w:ascii="Calibri" w:hAnsi="Calibri" w:cs="Times New Roman"/>
        </w:rPr>
        <w:t xml:space="preserve"> then </w:t>
      </w:r>
      <w:r w:rsidR="008E6633" w:rsidRPr="00826BA5">
        <w:rPr>
          <w:rFonts w:ascii="Calibri" w:hAnsi="Calibri" w:cs="Times New Roman"/>
        </w:rPr>
        <w:t xml:space="preserve">participating </w:t>
      </w:r>
      <w:r w:rsidR="00D554D7" w:rsidRPr="00826BA5">
        <w:rPr>
          <w:rFonts w:ascii="Calibri" w:hAnsi="Calibri" w:cs="Times New Roman"/>
        </w:rPr>
        <w:t>compani</w:t>
      </w:r>
      <w:r w:rsidR="002E7609">
        <w:rPr>
          <w:rFonts w:ascii="Calibri" w:hAnsi="Calibri" w:cs="Times New Roman"/>
        </w:rPr>
        <w:t>es would already be subject to s</w:t>
      </w:r>
      <w:r w:rsidR="00D554D7" w:rsidRPr="00826BA5">
        <w:rPr>
          <w:rFonts w:ascii="Calibri" w:hAnsi="Calibri" w:cs="Times New Roman"/>
        </w:rPr>
        <w:t xml:space="preserve">ection 5 </w:t>
      </w:r>
      <w:r w:rsidR="008E6633" w:rsidRPr="00826BA5">
        <w:rPr>
          <w:rFonts w:ascii="Calibri" w:hAnsi="Calibri" w:cs="Times New Roman"/>
        </w:rPr>
        <w:t xml:space="preserve">enforcement </w:t>
      </w:r>
      <w:r w:rsidR="00D554D7" w:rsidRPr="00826BA5">
        <w:rPr>
          <w:rFonts w:ascii="Calibri" w:hAnsi="Calibri" w:cs="Times New Roman"/>
        </w:rPr>
        <w:t xml:space="preserve">and so would have less to lose by </w:t>
      </w:r>
      <w:r w:rsidR="003B613E">
        <w:rPr>
          <w:rFonts w:ascii="Calibri" w:hAnsi="Calibri" w:cs="Times New Roman"/>
        </w:rPr>
        <w:t>agree</w:t>
      </w:r>
      <w:r w:rsidR="00D554D7" w:rsidRPr="00826BA5">
        <w:rPr>
          <w:rFonts w:ascii="Calibri" w:hAnsi="Calibri" w:cs="Times New Roman"/>
        </w:rPr>
        <w:t xml:space="preserve">ing </w:t>
      </w:r>
      <w:r w:rsidR="003B613E">
        <w:rPr>
          <w:rFonts w:ascii="Calibri" w:hAnsi="Calibri" w:cs="Times New Roman"/>
        </w:rPr>
        <w:t xml:space="preserve">to </w:t>
      </w:r>
      <w:r w:rsidR="00D554D7" w:rsidRPr="00826BA5">
        <w:rPr>
          <w:rFonts w:ascii="Calibri" w:hAnsi="Calibri" w:cs="Times New Roman"/>
        </w:rPr>
        <w:t xml:space="preserve">a MSH </w:t>
      </w:r>
      <w:r w:rsidR="003B613E">
        <w:rPr>
          <w:rFonts w:ascii="Calibri" w:hAnsi="Calibri" w:cs="Times New Roman"/>
        </w:rPr>
        <w:t>code of conduct</w:t>
      </w:r>
      <w:r w:rsidR="00D554D7" w:rsidRPr="00826BA5">
        <w:rPr>
          <w:rFonts w:ascii="Calibri" w:hAnsi="Calibri" w:cs="Times New Roman"/>
        </w:rPr>
        <w:t xml:space="preserve">.  </w:t>
      </w:r>
      <w:r w:rsidR="00C44829" w:rsidRPr="00826BA5">
        <w:rPr>
          <w:rFonts w:ascii="Calibri" w:hAnsi="Calibri"/>
        </w:rPr>
        <w:t xml:space="preserve">However, </w:t>
      </w:r>
      <w:r w:rsidR="002E7609">
        <w:rPr>
          <w:rFonts w:ascii="Calibri" w:hAnsi="Calibri"/>
        </w:rPr>
        <w:t xml:space="preserve">because </w:t>
      </w:r>
      <w:r w:rsidR="002E7609" w:rsidRPr="00826BA5">
        <w:rPr>
          <w:rFonts w:ascii="Calibri" w:hAnsi="Calibri"/>
        </w:rPr>
        <w:t>the CPBR is more rigorous than the privacy principles adopted by the SHA</w:t>
      </w:r>
      <w:r w:rsidR="002E7609">
        <w:rPr>
          <w:rFonts w:ascii="Calibri" w:hAnsi="Calibri"/>
        </w:rPr>
        <w:t>,</w:t>
      </w:r>
      <w:r w:rsidR="002E7609" w:rsidRPr="00826BA5">
        <w:rPr>
          <w:rFonts w:ascii="Calibri" w:hAnsi="Calibri"/>
        </w:rPr>
        <w:t xml:space="preserve"> </w:t>
      </w:r>
      <w:r w:rsidR="00C44829" w:rsidRPr="00826BA5">
        <w:rPr>
          <w:rFonts w:ascii="Calibri" w:hAnsi="Calibri"/>
        </w:rPr>
        <w:t>the FTC should not extend favorable</w:t>
      </w:r>
      <w:r w:rsidR="002B2D12" w:rsidRPr="00826BA5">
        <w:rPr>
          <w:rFonts w:ascii="Calibri" w:hAnsi="Calibri"/>
        </w:rPr>
        <w:t xml:space="preserve"> enforcement</w:t>
      </w:r>
      <w:r w:rsidR="00C44829" w:rsidRPr="00826BA5">
        <w:rPr>
          <w:rFonts w:ascii="Calibri" w:hAnsi="Calibri"/>
        </w:rPr>
        <w:t xml:space="preserve"> treatment to these companies unless they </w:t>
      </w:r>
      <w:r w:rsidR="003B613E">
        <w:rPr>
          <w:rFonts w:ascii="Calibri" w:hAnsi="Calibri"/>
        </w:rPr>
        <w:t>adhere</w:t>
      </w:r>
      <w:r w:rsidR="00C44829" w:rsidRPr="00826BA5">
        <w:rPr>
          <w:rFonts w:ascii="Calibri" w:hAnsi="Calibri"/>
        </w:rPr>
        <w:t xml:space="preserve"> to a </w:t>
      </w:r>
      <w:r w:rsidR="002E7609">
        <w:rPr>
          <w:rFonts w:ascii="Calibri" w:hAnsi="Calibri"/>
        </w:rPr>
        <w:t xml:space="preserve">MSH </w:t>
      </w:r>
      <w:r w:rsidR="00C44829" w:rsidRPr="00826BA5">
        <w:rPr>
          <w:rFonts w:ascii="Calibri" w:hAnsi="Calibri"/>
        </w:rPr>
        <w:t>code</w:t>
      </w:r>
      <w:r w:rsidR="002E7609">
        <w:rPr>
          <w:rFonts w:ascii="Calibri" w:hAnsi="Calibri"/>
        </w:rPr>
        <w:t>.</w:t>
      </w:r>
    </w:p>
    <w:p w14:paraId="0F429844" w14:textId="77777777" w:rsidR="00AB3A61" w:rsidRPr="00AB3A61" w:rsidRDefault="00AB3A61" w:rsidP="00AB3A61">
      <w:pPr>
        <w:widowControl w:val="0"/>
        <w:autoSpaceDE w:val="0"/>
        <w:autoSpaceDN w:val="0"/>
        <w:adjustRightInd w:val="0"/>
        <w:rPr>
          <w:rFonts w:ascii="Calibri" w:hAnsi="Calibri"/>
        </w:rPr>
      </w:pPr>
    </w:p>
    <w:p w14:paraId="08D810F1" w14:textId="7441BC64" w:rsidR="006C5529" w:rsidRPr="00826BA5" w:rsidRDefault="00C44829" w:rsidP="00826BA5">
      <w:pPr>
        <w:pStyle w:val="ListParagraph"/>
        <w:widowControl w:val="0"/>
        <w:numPr>
          <w:ilvl w:val="0"/>
          <w:numId w:val="7"/>
        </w:numPr>
        <w:autoSpaceDE w:val="0"/>
        <w:autoSpaceDN w:val="0"/>
        <w:adjustRightInd w:val="0"/>
        <w:rPr>
          <w:rFonts w:ascii="Calibri" w:hAnsi="Calibri"/>
        </w:rPr>
      </w:pPr>
      <w:r w:rsidRPr="00826BA5">
        <w:rPr>
          <w:rFonts w:ascii="Calibri" w:hAnsi="Calibri"/>
        </w:rPr>
        <w:t xml:space="preserve">Third, the FTC </w:t>
      </w:r>
      <w:r w:rsidR="00D554D7" w:rsidRPr="00826BA5">
        <w:rPr>
          <w:rFonts w:ascii="Calibri" w:hAnsi="Calibri"/>
        </w:rPr>
        <w:t>can give all firms</w:t>
      </w:r>
      <w:r w:rsidR="002B2D12" w:rsidRPr="00826BA5">
        <w:rPr>
          <w:rFonts w:ascii="Calibri" w:hAnsi="Calibri"/>
        </w:rPr>
        <w:t xml:space="preserve">—including those who </w:t>
      </w:r>
      <w:r w:rsidR="003B613E">
        <w:rPr>
          <w:rFonts w:ascii="Calibri" w:hAnsi="Calibri"/>
        </w:rPr>
        <w:t>have</w:t>
      </w:r>
      <w:r w:rsidR="002B2D12" w:rsidRPr="00826BA5">
        <w:rPr>
          <w:rFonts w:ascii="Calibri" w:hAnsi="Calibri"/>
        </w:rPr>
        <w:t xml:space="preserve"> not </w:t>
      </w:r>
      <w:r w:rsidR="003B613E">
        <w:rPr>
          <w:rFonts w:ascii="Calibri" w:hAnsi="Calibri"/>
        </w:rPr>
        <w:t>adopte</w:t>
      </w:r>
      <w:r w:rsidR="00576BA1">
        <w:rPr>
          <w:rFonts w:ascii="Calibri" w:hAnsi="Calibri"/>
        </w:rPr>
        <w:t>d</w:t>
      </w:r>
      <w:r w:rsidR="002B2D12" w:rsidRPr="00826BA5">
        <w:rPr>
          <w:rFonts w:ascii="Calibri" w:hAnsi="Calibri"/>
        </w:rPr>
        <w:t xml:space="preserve"> a voluntary code and </w:t>
      </w:r>
      <w:r w:rsidR="003B613E">
        <w:rPr>
          <w:rFonts w:ascii="Calibri" w:hAnsi="Calibri"/>
        </w:rPr>
        <w:t xml:space="preserve">did </w:t>
      </w:r>
      <w:r w:rsidR="002B2D12" w:rsidRPr="00826BA5">
        <w:rPr>
          <w:rFonts w:ascii="Calibri" w:hAnsi="Calibri"/>
        </w:rPr>
        <w:t xml:space="preserve">not </w:t>
      </w:r>
      <w:r w:rsidR="003B613E">
        <w:rPr>
          <w:rFonts w:ascii="Calibri" w:hAnsi="Calibri"/>
        </w:rPr>
        <w:t xml:space="preserve">sign up for the </w:t>
      </w:r>
      <w:r w:rsidR="002B2D12" w:rsidRPr="00826BA5">
        <w:rPr>
          <w:rFonts w:ascii="Calibri" w:hAnsi="Calibri"/>
        </w:rPr>
        <w:t>SHA—</w:t>
      </w:r>
      <w:r w:rsidR="00397150">
        <w:rPr>
          <w:rFonts w:ascii="Calibri" w:hAnsi="Calibri"/>
        </w:rPr>
        <w:t xml:space="preserve">a strong incentive </w:t>
      </w:r>
      <w:r w:rsidR="002E7609">
        <w:rPr>
          <w:rFonts w:ascii="Calibri" w:hAnsi="Calibri"/>
        </w:rPr>
        <w:t xml:space="preserve">to participate in </w:t>
      </w:r>
      <w:r w:rsidR="003B613E">
        <w:rPr>
          <w:rFonts w:ascii="Calibri" w:hAnsi="Calibri"/>
        </w:rPr>
        <w:t>the</w:t>
      </w:r>
      <w:r w:rsidR="00D554D7" w:rsidRPr="00826BA5">
        <w:rPr>
          <w:rFonts w:ascii="Calibri" w:hAnsi="Calibri"/>
        </w:rPr>
        <w:t xml:space="preserve"> MSH process by </w:t>
      </w:r>
      <w:r w:rsidR="00826BA5" w:rsidRPr="00826BA5">
        <w:rPr>
          <w:rFonts w:ascii="Calibri" w:hAnsi="Calibri"/>
        </w:rPr>
        <w:t xml:space="preserve">embarking on a new strategy </w:t>
      </w:r>
      <w:r w:rsidR="00397150">
        <w:rPr>
          <w:rFonts w:ascii="Calibri" w:hAnsi="Calibri"/>
        </w:rPr>
        <w:t xml:space="preserve">that </w:t>
      </w:r>
      <w:r w:rsidR="00826BA5" w:rsidRPr="00826BA5">
        <w:rPr>
          <w:rFonts w:ascii="Calibri" w:hAnsi="Calibri"/>
        </w:rPr>
        <w:t xml:space="preserve">treats the </w:t>
      </w:r>
      <w:r w:rsidR="008E6633" w:rsidRPr="00826BA5">
        <w:rPr>
          <w:rFonts w:ascii="Calibri" w:hAnsi="Calibri"/>
        </w:rPr>
        <w:t>CPBR</w:t>
      </w:r>
      <w:r w:rsidR="00826BA5" w:rsidRPr="00826BA5">
        <w:rPr>
          <w:rFonts w:ascii="Calibri" w:hAnsi="Calibri"/>
        </w:rPr>
        <w:t xml:space="preserve"> as a set of enforceable obligations</w:t>
      </w:r>
      <w:r w:rsidR="008E6633" w:rsidRPr="00826BA5">
        <w:rPr>
          <w:rFonts w:ascii="Calibri" w:hAnsi="Calibri"/>
        </w:rPr>
        <w:t xml:space="preserve">, </w:t>
      </w:r>
      <w:r w:rsidR="00D554D7" w:rsidRPr="00826BA5">
        <w:rPr>
          <w:rFonts w:ascii="Calibri" w:hAnsi="Calibri"/>
        </w:rPr>
        <w:t>even before Cong</w:t>
      </w:r>
      <w:r w:rsidR="002E7609">
        <w:rPr>
          <w:rFonts w:ascii="Calibri" w:hAnsi="Calibri"/>
        </w:rPr>
        <w:t>ress enact</w:t>
      </w:r>
      <w:r w:rsidR="00826BA5" w:rsidRPr="00826BA5">
        <w:rPr>
          <w:rFonts w:ascii="Calibri" w:hAnsi="Calibri"/>
        </w:rPr>
        <w:t>s the CPBR into law.</w:t>
      </w:r>
      <w:r w:rsidR="00F85CDD">
        <w:rPr>
          <w:rFonts w:ascii="Calibri" w:hAnsi="Calibri"/>
        </w:rPr>
        <w:t xml:space="preserve"> </w:t>
      </w:r>
      <w:r w:rsidR="00826BA5" w:rsidRPr="00826BA5">
        <w:rPr>
          <w:rFonts w:ascii="Calibri" w:hAnsi="Calibri"/>
        </w:rPr>
        <w:t xml:space="preserve"> </w:t>
      </w:r>
      <w:r w:rsidR="00D554D7" w:rsidRPr="00826BA5">
        <w:rPr>
          <w:rFonts w:ascii="Calibri" w:hAnsi="Calibri"/>
        </w:rPr>
        <w:t xml:space="preserve">Were the FTC to </w:t>
      </w:r>
      <w:r w:rsidR="00826BA5" w:rsidRPr="00826BA5">
        <w:rPr>
          <w:rFonts w:ascii="Calibri" w:hAnsi="Calibri"/>
        </w:rPr>
        <w:t xml:space="preserve">pursue this strategy, </w:t>
      </w:r>
      <w:r w:rsidR="00D554D7" w:rsidRPr="00826BA5">
        <w:rPr>
          <w:rFonts w:ascii="Calibri" w:hAnsi="Calibri"/>
        </w:rPr>
        <w:t xml:space="preserve">the </w:t>
      </w:r>
      <w:r w:rsidR="00826BA5" w:rsidRPr="00826BA5">
        <w:rPr>
          <w:rFonts w:ascii="Calibri" w:hAnsi="Calibri"/>
        </w:rPr>
        <w:t xml:space="preserve">codes resulting from the </w:t>
      </w:r>
      <w:r w:rsidR="00D554D7" w:rsidRPr="00826BA5">
        <w:rPr>
          <w:rFonts w:ascii="Calibri" w:hAnsi="Calibri"/>
        </w:rPr>
        <w:t xml:space="preserve">MSH </w:t>
      </w:r>
      <w:r w:rsidR="00826BA5" w:rsidRPr="00826BA5">
        <w:rPr>
          <w:rFonts w:ascii="Calibri" w:hAnsi="Calibri"/>
        </w:rPr>
        <w:t xml:space="preserve">process would then </w:t>
      </w:r>
      <w:r w:rsidR="00D554D7" w:rsidRPr="00826BA5">
        <w:rPr>
          <w:rFonts w:ascii="Calibri" w:hAnsi="Calibri"/>
        </w:rPr>
        <w:t>provide a</w:t>
      </w:r>
      <w:r w:rsidR="008E6633" w:rsidRPr="00826BA5">
        <w:rPr>
          <w:rFonts w:ascii="Calibri" w:hAnsi="Calibri"/>
        </w:rPr>
        <w:t xml:space="preserve">n informal </w:t>
      </w:r>
      <w:r w:rsidR="00D554D7" w:rsidRPr="00826BA5">
        <w:rPr>
          <w:rFonts w:ascii="Calibri" w:hAnsi="Calibri"/>
        </w:rPr>
        <w:t>“safe harbor” in the sense that firms that followed such a code would know that</w:t>
      </w:r>
      <w:r w:rsidR="008E6633" w:rsidRPr="00826BA5">
        <w:rPr>
          <w:rFonts w:ascii="Calibri" w:hAnsi="Calibri"/>
        </w:rPr>
        <w:t xml:space="preserve"> their practices were </w:t>
      </w:r>
      <w:r w:rsidR="002E7609">
        <w:rPr>
          <w:rFonts w:ascii="Calibri" w:hAnsi="Calibri"/>
        </w:rPr>
        <w:t>neither deceptive nor un</w:t>
      </w:r>
      <w:r w:rsidR="008E6633" w:rsidRPr="00826BA5">
        <w:rPr>
          <w:rFonts w:ascii="Calibri" w:hAnsi="Calibri"/>
        </w:rPr>
        <w:t>fair</w:t>
      </w:r>
      <w:r w:rsidR="00826BA5" w:rsidRPr="00826BA5">
        <w:rPr>
          <w:rFonts w:ascii="Calibri" w:hAnsi="Calibri"/>
        </w:rPr>
        <w:t>,</w:t>
      </w:r>
      <w:r w:rsidR="008E6633" w:rsidRPr="00826BA5">
        <w:rPr>
          <w:rFonts w:ascii="Calibri" w:hAnsi="Calibri"/>
        </w:rPr>
        <w:t xml:space="preserve"> </w:t>
      </w:r>
      <w:r w:rsidR="00826BA5" w:rsidRPr="00826BA5">
        <w:rPr>
          <w:rFonts w:ascii="Calibri" w:hAnsi="Calibri"/>
        </w:rPr>
        <w:t xml:space="preserve">thereby shielding them from </w:t>
      </w:r>
      <w:r w:rsidR="008E6633" w:rsidRPr="00826BA5">
        <w:rPr>
          <w:rFonts w:ascii="Calibri" w:hAnsi="Calibri"/>
        </w:rPr>
        <w:t xml:space="preserve">enforcement </w:t>
      </w:r>
      <w:r w:rsidR="00826BA5" w:rsidRPr="00826BA5">
        <w:rPr>
          <w:rFonts w:ascii="Calibri" w:hAnsi="Calibri"/>
        </w:rPr>
        <w:t xml:space="preserve">actions. </w:t>
      </w:r>
      <w:r w:rsidR="00F85CDD">
        <w:rPr>
          <w:rFonts w:ascii="Calibri" w:hAnsi="Calibri"/>
        </w:rPr>
        <w:t xml:space="preserve"> </w:t>
      </w:r>
      <w:r w:rsidR="00826BA5" w:rsidRPr="00826BA5">
        <w:rPr>
          <w:rFonts w:ascii="Calibri" w:hAnsi="Calibri"/>
        </w:rPr>
        <w:t xml:space="preserve">Rather, this new strategy would be aimed at firms that are not subject to </w:t>
      </w:r>
      <w:r w:rsidR="003B613E">
        <w:rPr>
          <w:rFonts w:ascii="Calibri" w:hAnsi="Calibri"/>
        </w:rPr>
        <w:t xml:space="preserve">enforceable </w:t>
      </w:r>
      <w:r w:rsidR="00826BA5" w:rsidRPr="00826BA5">
        <w:rPr>
          <w:rFonts w:ascii="Calibri" w:hAnsi="Calibri"/>
        </w:rPr>
        <w:t xml:space="preserve">codes at all. </w:t>
      </w:r>
    </w:p>
    <w:p w14:paraId="640EB5C8" w14:textId="77777777" w:rsidR="006C5529" w:rsidRPr="008710EE" w:rsidRDefault="006C5529" w:rsidP="008710EE">
      <w:pPr>
        <w:rPr>
          <w:rFonts w:ascii="Calibri" w:hAnsi="Calibri"/>
        </w:rPr>
      </w:pPr>
    </w:p>
    <w:p w14:paraId="23609765" w14:textId="461618BC" w:rsidR="00663FA5" w:rsidRDefault="00826BA5" w:rsidP="00663FA5">
      <w:pPr>
        <w:rPr>
          <w:rFonts w:ascii="Calibri" w:hAnsi="Calibri" w:cs="Times New Roman"/>
        </w:rPr>
      </w:pPr>
      <w:r>
        <w:rPr>
          <w:rFonts w:ascii="Calibri" w:hAnsi="Calibri"/>
        </w:rPr>
        <w:t xml:space="preserve">While the first two prongs of the enforcement strategy represent </w:t>
      </w:r>
      <w:r w:rsidR="002E7609">
        <w:rPr>
          <w:rFonts w:ascii="Calibri" w:hAnsi="Calibri"/>
        </w:rPr>
        <w:t>existing</w:t>
      </w:r>
      <w:r w:rsidR="00C44829" w:rsidRPr="008710EE">
        <w:rPr>
          <w:rFonts w:ascii="Calibri" w:hAnsi="Calibri"/>
        </w:rPr>
        <w:t xml:space="preserve"> FTC policy,</w:t>
      </w:r>
      <w:r w:rsidR="00241535">
        <w:rPr>
          <w:rStyle w:val="FootnoteReference"/>
          <w:rFonts w:ascii="Calibri" w:hAnsi="Calibri"/>
        </w:rPr>
        <w:footnoteReference w:id="7"/>
      </w:r>
      <w:r w:rsidR="00C44829" w:rsidRPr="008710EE">
        <w:rPr>
          <w:rFonts w:ascii="Calibri" w:hAnsi="Calibri"/>
        </w:rPr>
        <w:t xml:space="preserve"> this third </w:t>
      </w:r>
      <w:r>
        <w:rPr>
          <w:rFonts w:ascii="Calibri" w:hAnsi="Calibri"/>
        </w:rPr>
        <w:t xml:space="preserve">prong is a </w:t>
      </w:r>
      <w:r w:rsidR="00C44829" w:rsidRPr="008710EE">
        <w:rPr>
          <w:rFonts w:ascii="Calibri" w:hAnsi="Calibri"/>
        </w:rPr>
        <w:t xml:space="preserve">departure from </w:t>
      </w:r>
      <w:r>
        <w:rPr>
          <w:rFonts w:ascii="Calibri" w:hAnsi="Calibri"/>
        </w:rPr>
        <w:t>and therefore requires some brief explanation.</w:t>
      </w:r>
      <w:r w:rsidR="00F85CDD">
        <w:rPr>
          <w:rFonts w:ascii="Calibri" w:hAnsi="Calibri"/>
        </w:rPr>
        <w:t xml:space="preserve"> </w:t>
      </w:r>
      <w:r>
        <w:rPr>
          <w:rFonts w:ascii="Calibri" w:hAnsi="Calibri"/>
        </w:rPr>
        <w:t xml:space="preserve"> </w:t>
      </w:r>
      <w:r w:rsidR="002000B5">
        <w:rPr>
          <w:rFonts w:ascii="Calibri" w:hAnsi="Calibri"/>
        </w:rPr>
        <w:t xml:space="preserve">Of the seven principles constituting the CPBR, three </w:t>
      </w:r>
      <w:r w:rsidR="003B613E">
        <w:rPr>
          <w:rFonts w:ascii="Calibri" w:hAnsi="Calibri"/>
        </w:rPr>
        <w:t xml:space="preserve">of the </w:t>
      </w:r>
      <w:r w:rsidR="002000B5">
        <w:rPr>
          <w:rFonts w:ascii="Calibri" w:hAnsi="Calibri"/>
        </w:rPr>
        <w:t>principles—individual control, transparency, and security—have long formed the basis for FTC enforcement actions.</w:t>
      </w:r>
      <w:r w:rsidR="002000B5">
        <w:rPr>
          <w:rStyle w:val="FootnoteReference"/>
          <w:rFonts w:ascii="Calibri" w:hAnsi="Calibri"/>
        </w:rPr>
        <w:footnoteReference w:id="8"/>
      </w:r>
      <w:r w:rsidR="00F85CDD">
        <w:rPr>
          <w:rFonts w:ascii="Calibri" w:hAnsi="Calibri"/>
        </w:rPr>
        <w:t xml:space="preserve"> </w:t>
      </w:r>
      <w:r w:rsidR="002000B5">
        <w:rPr>
          <w:rFonts w:ascii="Calibri" w:hAnsi="Calibri"/>
        </w:rPr>
        <w:t xml:space="preserve"> However, </w:t>
      </w:r>
      <w:r w:rsidR="00397150">
        <w:rPr>
          <w:rFonts w:ascii="Calibri" w:hAnsi="Calibri"/>
        </w:rPr>
        <w:t xml:space="preserve">at first glance, it </w:t>
      </w:r>
      <w:r w:rsidR="002000B5">
        <w:rPr>
          <w:rFonts w:ascii="Calibri" w:hAnsi="Calibri"/>
        </w:rPr>
        <w:t xml:space="preserve">might seem </w:t>
      </w:r>
      <w:r w:rsidR="00E725E0">
        <w:rPr>
          <w:rFonts w:ascii="Calibri" w:hAnsi="Calibri"/>
        </w:rPr>
        <w:t xml:space="preserve">that </w:t>
      </w:r>
      <w:r w:rsidR="002000B5">
        <w:rPr>
          <w:rFonts w:ascii="Calibri" w:hAnsi="Calibri"/>
        </w:rPr>
        <w:t>the remaining four principles—respect for context, access and accuracy, focused collection, and accountability—are</w:t>
      </w:r>
      <w:r w:rsidR="002E7609">
        <w:rPr>
          <w:rFonts w:ascii="Calibri" w:hAnsi="Calibri"/>
        </w:rPr>
        <w:t xml:space="preserve"> </w:t>
      </w:r>
      <w:r w:rsidR="002000B5">
        <w:rPr>
          <w:rFonts w:ascii="Calibri" w:hAnsi="Calibri"/>
        </w:rPr>
        <w:t xml:space="preserve">beyond the </w:t>
      </w:r>
      <w:r w:rsidR="002E7609">
        <w:rPr>
          <w:rFonts w:ascii="Calibri" w:hAnsi="Calibri"/>
        </w:rPr>
        <w:t>FTC’s</w:t>
      </w:r>
      <w:r w:rsidR="002000B5">
        <w:rPr>
          <w:rFonts w:ascii="Calibri" w:hAnsi="Calibri"/>
        </w:rPr>
        <w:t xml:space="preserve"> </w:t>
      </w:r>
      <w:r w:rsidR="00397150">
        <w:rPr>
          <w:rFonts w:ascii="Calibri" w:hAnsi="Calibri"/>
        </w:rPr>
        <w:t xml:space="preserve">enforcement </w:t>
      </w:r>
      <w:r w:rsidR="002000B5">
        <w:rPr>
          <w:rFonts w:ascii="Calibri" w:hAnsi="Calibri"/>
        </w:rPr>
        <w:t xml:space="preserve">authority. </w:t>
      </w:r>
      <w:r w:rsidR="00F85CDD">
        <w:rPr>
          <w:rFonts w:ascii="Calibri" w:hAnsi="Calibri"/>
        </w:rPr>
        <w:t xml:space="preserve"> </w:t>
      </w:r>
      <w:r w:rsidR="00397150">
        <w:rPr>
          <w:rFonts w:ascii="Calibri" w:hAnsi="Calibri"/>
        </w:rPr>
        <w:t xml:space="preserve">It is important to bear in mind, however, that </w:t>
      </w:r>
      <w:r w:rsidR="003952D8">
        <w:rPr>
          <w:rFonts w:ascii="Calibri" w:hAnsi="Calibri"/>
        </w:rPr>
        <w:t xml:space="preserve">over the last 13 or so years, </w:t>
      </w:r>
      <w:r w:rsidR="00497CC2">
        <w:rPr>
          <w:rFonts w:ascii="Calibri" w:hAnsi="Calibri"/>
        </w:rPr>
        <w:t xml:space="preserve">the FTC </w:t>
      </w:r>
      <w:r w:rsidR="003952D8">
        <w:rPr>
          <w:rFonts w:ascii="Calibri" w:hAnsi="Calibri"/>
        </w:rPr>
        <w:t xml:space="preserve">has slowly but steadily </w:t>
      </w:r>
      <w:r w:rsidR="00764EC9">
        <w:rPr>
          <w:rFonts w:ascii="Calibri" w:hAnsi="Calibri"/>
        </w:rPr>
        <w:t xml:space="preserve">expanded </w:t>
      </w:r>
      <w:r w:rsidR="003952D8">
        <w:rPr>
          <w:rFonts w:ascii="Calibri" w:hAnsi="Calibri"/>
        </w:rPr>
        <w:t xml:space="preserve">its </w:t>
      </w:r>
      <w:r w:rsidR="008D78A1">
        <w:rPr>
          <w:rFonts w:ascii="Calibri" w:hAnsi="Calibri"/>
        </w:rPr>
        <w:t xml:space="preserve">enforcement </w:t>
      </w:r>
      <w:r w:rsidR="003952D8">
        <w:rPr>
          <w:rFonts w:ascii="Calibri" w:hAnsi="Calibri"/>
        </w:rPr>
        <w:t xml:space="preserve">authority through innovative uses of both </w:t>
      </w:r>
      <w:r w:rsidR="008D78A1">
        <w:rPr>
          <w:rFonts w:ascii="Calibri" w:hAnsi="Calibri"/>
        </w:rPr>
        <w:t xml:space="preserve">the </w:t>
      </w:r>
      <w:r w:rsidR="003952D8">
        <w:rPr>
          <w:rFonts w:ascii="Calibri" w:hAnsi="Calibri"/>
        </w:rPr>
        <w:t xml:space="preserve">deception </w:t>
      </w:r>
      <w:r w:rsidR="008D78A1">
        <w:rPr>
          <w:rFonts w:ascii="Calibri" w:hAnsi="Calibri"/>
        </w:rPr>
        <w:t xml:space="preserve">doctrine </w:t>
      </w:r>
      <w:r w:rsidR="003952D8">
        <w:rPr>
          <w:rFonts w:ascii="Calibri" w:hAnsi="Calibri"/>
        </w:rPr>
        <w:t xml:space="preserve">and, especially, </w:t>
      </w:r>
      <w:r w:rsidR="008D78A1">
        <w:rPr>
          <w:rFonts w:ascii="Calibri" w:hAnsi="Calibri"/>
        </w:rPr>
        <w:t xml:space="preserve">the </w:t>
      </w:r>
      <w:r w:rsidR="003952D8">
        <w:rPr>
          <w:rFonts w:ascii="Calibri" w:hAnsi="Calibri"/>
        </w:rPr>
        <w:t>unfairness</w:t>
      </w:r>
      <w:r w:rsidR="008D78A1">
        <w:rPr>
          <w:rFonts w:ascii="Calibri" w:hAnsi="Calibri"/>
        </w:rPr>
        <w:t xml:space="preserve"> doctrine</w:t>
      </w:r>
      <w:r w:rsidR="003952D8">
        <w:rPr>
          <w:rFonts w:ascii="Calibri" w:hAnsi="Calibri"/>
        </w:rPr>
        <w:t>.</w:t>
      </w:r>
      <w:r w:rsidR="003952D8">
        <w:rPr>
          <w:rStyle w:val="FootnoteReference"/>
          <w:rFonts w:ascii="Calibri" w:hAnsi="Calibri"/>
        </w:rPr>
        <w:footnoteReference w:id="9"/>
      </w:r>
      <w:r w:rsidR="003952D8">
        <w:rPr>
          <w:rFonts w:ascii="Calibri" w:hAnsi="Calibri"/>
        </w:rPr>
        <w:t xml:space="preserve"> </w:t>
      </w:r>
      <w:r w:rsidR="00F85CDD">
        <w:rPr>
          <w:rFonts w:ascii="Calibri" w:hAnsi="Calibri"/>
        </w:rPr>
        <w:t xml:space="preserve"> </w:t>
      </w:r>
      <w:r w:rsidR="00764EC9">
        <w:rPr>
          <w:rFonts w:ascii="Calibri" w:hAnsi="Calibri"/>
        </w:rPr>
        <w:t>P</w:t>
      </w:r>
      <w:r w:rsidR="005F4A95">
        <w:rPr>
          <w:rFonts w:ascii="Calibri" w:hAnsi="Calibri"/>
        </w:rPr>
        <w:t xml:space="preserve">rivacy scholars have </w:t>
      </w:r>
      <w:r w:rsidR="00764EC9">
        <w:rPr>
          <w:rFonts w:ascii="Calibri" w:hAnsi="Calibri"/>
        </w:rPr>
        <w:t xml:space="preserve">also </w:t>
      </w:r>
      <w:r w:rsidR="003B386B">
        <w:rPr>
          <w:rFonts w:ascii="Calibri" w:hAnsi="Calibri"/>
        </w:rPr>
        <w:t xml:space="preserve">begun to </w:t>
      </w:r>
      <w:r w:rsidR="005F4A95">
        <w:rPr>
          <w:rFonts w:ascii="Calibri" w:hAnsi="Calibri"/>
        </w:rPr>
        <w:t>c</w:t>
      </w:r>
      <w:r w:rsidR="00764EC9">
        <w:rPr>
          <w:rFonts w:ascii="Calibri" w:hAnsi="Calibri"/>
        </w:rPr>
        <w:t xml:space="preserve">all attention to the role of consumer </w:t>
      </w:r>
      <w:r w:rsidR="00764EC9">
        <w:rPr>
          <w:rFonts w:ascii="Calibri" w:hAnsi="Calibri"/>
        </w:rPr>
        <w:lastRenderedPageBreak/>
        <w:t>expectations in FTC settlements</w:t>
      </w:r>
      <w:r w:rsidR="00F85CDD">
        <w:rPr>
          <w:rFonts w:ascii="Calibri" w:hAnsi="Calibri"/>
        </w:rPr>
        <w:t xml:space="preserve"> </w:t>
      </w:r>
      <w:r w:rsidR="00764EC9">
        <w:rPr>
          <w:rFonts w:ascii="Calibri" w:hAnsi="Calibri"/>
        </w:rPr>
        <w:t>such as Sony BMG</w:t>
      </w:r>
      <w:r w:rsidR="00764EC9">
        <w:rPr>
          <w:rStyle w:val="FootnoteReference"/>
          <w:rFonts w:ascii="Calibri" w:hAnsi="Calibri"/>
        </w:rPr>
        <w:footnoteReference w:id="10"/>
      </w:r>
      <w:r w:rsidR="00764EC9">
        <w:rPr>
          <w:rFonts w:ascii="Calibri" w:hAnsi="Calibri"/>
        </w:rPr>
        <w:t xml:space="preserve"> and Sears.</w:t>
      </w:r>
      <w:r w:rsidR="00764EC9">
        <w:rPr>
          <w:rStyle w:val="FootnoteReference"/>
          <w:rFonts w:ascii="Calibri" w:hAnsi="Calibri"/>
        </w:rPr>
        <w:footnoteReference w:id="11"/>
      </w:r>
      <w:r w:rsidR="00764EC9">
        <w:rPr>
          <w:rFonts w:ascii="Calibri" w:hAnsi="Calibri"/>
        </w:rPr>
        <w:t xml:space="preserve"> </w:t>
      </w:r>
      <w:r w:rsidR="00F85CDD">
        <w:rPr>
          <w:rFonts w:ascii="Calibri" w:hAnsi="Calibri"/>
        </w:rPr>
        <w:t xml:space="preserve"> </w:t>
      </w:r>
      <w:r w:rsidR="00764EC9">
        <w:rPr>
          <w:rFonts w:ascii="Calibri" w:hAnsi="Calibri"/>
        </w:rPr>
        <w:t xml:space="preserve">These and several other recent settlements </w:t>
      </w:r>
      <w:r w:rsidR="008D78A1">
        <w:rPr>
          <w:rFonts w:ascii="Calibri" w:hAnsi="Calibri"/>
        </w:rPr>
        <w:t xml:space="preserve">reinforce the notion that the </w:t>
      </w:r>
      <w:r w:rsidR="00764EC9">
        <w:rPr>
          <w:rFonts w:ascii="Calibri" w:hAnsi="Calibri"/>
        </w:rPr>
        <w:t xml:space="preserve">FTC </w:t>
      </w:r>
      <w:r w:rsidR="00536C89">
        <w:rPr>
          <w:rFonts w:ascii="Calibri" w:hAnsi="Calibri"/>
        </w:rPr>
        <w:t xml:space="preserve">could </w:t>
      </w:r>
      <w:r w:rsidR="00F85CDD">
        <w:rPr>
          <w:rFonts w:ascii="Calibri" w:hAnsi="Calibri"/>
        </w:rPr>
        <w:t>begin</w:t>
      </w:r>
      <w:r w:rsidR="00536C89">
        <w:rPr>
          <w:rFonts w:ascii="Calibri" w:hAnsi="Calibri"/>
        </w:rPr>
        <w:t xml:space="preserve"> looking for </w:t>
      </w:r>
      <w:r w:rsidR="008F7E62">
        <w:rPr>
          <w:rFonts w:ascii="Calibri" w:hAnsi="Calibri"/>
        </w:rPr>
        <w:t xml:space="preserve">appropriate </w:t>
      </w:r>
      <w:r w:rsidR="00536C89">
        <w:rPr>
          <w:rFonts w:ascii="Calibri" w:hAnsi="Calibri"/>
        </w:rPr>
        <w:t>fact</w:t>
      </w:r>
      <w:r w:rsidR="008F7E62">
        <w:rPr>
          <w:rFonts w:ascii="Calibri" w:hAnsi="Calibri"/>
        </w:rPr>
        <w:t>ual</w:t>
      </w:r>
      <w:r w:rsidR="00536C89">
        <w:rPr>
          <w:rFonts w:ascii="Calibri" w:hAnsi="Calibri"/>
        </w:rPr>
        <w:t xml:space="preserve"> scenarios in which to apply these </w:t>
      </w:r>
      <w:r w:rsidR="00F85CDD">
        <w:rPr>
          <w:rFonts w:ascii="Calibri" w:hAnsi="Calibri"/>
        </w:rPr>
        <w:t xml:space="preserve">remaining </w:t>
      </w:r>
      <w:r w:rsidR="00536C89">
        <w:rPr>
          <w:rFonts w:ascii="Calibri" w:hAnsi="Calibri"/>
        </w:rPr>
        <w:t xml:space="preserve">four principles </w:t>
      </w:r>
      <w:r w:rsidR="00F85CDD">
        <w:rPr>
          <w:rFonts w:ascii="Calibri" w:hAnsi="Calibri"/>
        </w:rPr>
        <w:t xml:space="preserve">of the CPBR, </w:t>
      </w:r>
      <w:r w:rsidR="00536C89">
        <w:rPr>
          <w:rFonts w:ascii="Calibri" w:hAnsi="Calibri"/>
        </w:rPr>
        <w:t>consistent with an evolving understanding of consumer protection.</w:t>
      </w:r>
    </w:p>
    <w:p w14:paraId="4B9CBA15" w14:textId="77777777" w:rsidR="00D554D7" w:rsidRPr="008710EE" w:rsidRDefault="00D554D7" w:rsidP="008710EE">
      <w:pPr>
        <w:rPr>
          <w:rFonts w:ascii="Calibri" w:hAnsi="Calibri"/>
        </w:rPr>
      </w:pPr>
    </w:p>
    <w:p w14:paraId="569BA0E7" w14:textId="77777777" w:rsidR="00D554D7" w:rsidRPr="008710EE" w:rsidRDefault="00536C89" w:rsidP="008710EE">
      <w:pPr>
        <w:rPr>
          <w:rFonts w:ascii="Calibri" w:hAnsi="Calibri"/>
        </w:rPr>
      </w:pPr>
      <w:r>
        <w:rPr>
          <w:rFonts w:ascii="Calibri" w:hAnsi="Calibri" w:cs="Times New Roman"/>
        </w:rPr>
        <w:t>To summarize: the</w:t>
      </w:r>
      <w:r w:rsidR="00663FA5">
        <w:rPr>
          <w:rFonts w:ascii="Calibri" w:hAnsi="Calibri" w:cs="Times New Roman"/>
        </w:rPr>
        <w:t xml:space="preserve"> goal </w:t>
      </w:r>
      <w:r>
        <w:rPr>
          <w:rFonts w:ascii="Calibri" w:hAnsi="Calibri" w:cs="Times New Roman"/>
        </w:rPr>
        <w:t xml:space="preserve">of three-part strategy laid out above would be to </w:t>
      </w:r>
      <w:r w:rsidR="00D554D7" w:rsidRPr="008710EE">
        <w:rPr>
          <w:rFonts w:ascii="Calibri" w:hAnsi="Calibri" w:cs="Times New Roman"/>
        </w:rPr>
        <w:t>place all companies on an equal footing with respect to implementing the CPBR in the near future</w:t>
      </w:r>
      <w:r w:rsidR="002B2D12" w:rsidRPr="008710EE">
        <w:rPr>
          <w:rFonts w:ascii="Calibri" w:hAnsi="Calibri" w:cs="Times New Roman"/>
        </w:rPr>
        <w:t>, and to encourage all companies to participate in the MSH process,</w:t>
      </w:r>
      <w:r w:rsidR="00D554D7" w:rsidRPr="008710EE">
        <w:rPr>
          <w:rFonts w:ascii="Calibri" w:hAnsi="Calibri" w:cs="Times New Roman"/>
        </w:rPr>
        <w:t xml:space="preserve"> without waiting for Congress to enact a new privacy law.</w:t>
      </w:r>
      <w:r w:rsidR="00F85CDD">
        <w:rPr>
          <w:rFonts w:ascii="Calibri" w:hAnsi="Calibri" w:cs="Times New Roman"/>
        </w:rPr>
        <w:t xml:space="preserve"> </w:t>
      </w:r>
      <w:r w:rsidR="00D554D7" w:rsidRPr="008710EE">
        <w:rPr>
          <w:rFonts w:ascii="Calibri" w:hAnsi="Calibri" w:cs="Times New Roman"/>
        </w:rPr>
        <w:t xml:space="preserve"> If all companies must abide by the CPBR, this not only solves the free rider problem but also creates a strong incentive to participate in the multistakeholder process and thereby enjoy some prospect of shaping the outcome. </w:t>
      </w:r>
      <w:r w:rsidR="00F85CDD">
        <w:rPr>
          <w:rFonts w:ascii="Calibri" w:hAnsi="Calibri" w:cs="Times New Roman"/>
        </w:rPr>
        <w:t xml:space="preserve"> </w:t>
      </w:r>
      <w:r w:rsidR="00D554D7" w:rsidRPr="008710EE">
        <w:rPr>
          <w:rFonts w:ascii="Calibri" w:hAnsi="Calibri" w:cs="Times New Roman"/>
        </w:rPr>
        <w:t>If this strategy is successful, companies that refuse to participate are disadvantaged because they will have to abide by a code of conduct they did not shape and that is therefore unlikely to take into account their own business models or technical capabilities.</w:t>
      </w:r>
    </w:p>
    <w:p w14:paraId="2B789FA0" w14:textId="77777777" w:rsidR="00C811FB" w:rsidRPr="008710EE" w:rsidRDefault="00C811FB" w:rsidP="00F11BE5">
      <w:pPr>
        <w:widowControl w:val="0"/>
        <w:autoSpaceDE w:val="0"/>
        <w:autoSpaceDN w:val="0"/>
        <w:adjustRightInd w:val="0"/>
        <w:rPr>
          <w:rFonts w:ascii="Calibri" w:hAnsi="Calibri"/>
          <w:bCs/>
        </w:rPr>
      </w:pPr>
    </w:p>
    <w:p w14:paraId="4D909192" w14:textId="0C62960B" w:rsidR="005370CD" w:rsidRDefault="00F11BE5" w:rsidP="00AF1AD2">
      <w:pPr>
        <w:widowControl w:val="0"/>
        <w:autoSpaceDE w:val="0"/>
        <w:autoSpaceDN w:val="0"/>
        <w:adjustRightInd w:val="0"/>
        <w:rPr>
          <w:rFonts w:ascii="Calibri" w:hAnsi="Calibri" w:cs="Times New Roman"/>
        </w:rPr>
      </w:pPr>
      <w:r w:rsidRPr="008710EE">
        <w:rPr>
          <w:rFonts w:ascii="Calibri" w:hAnsi="Calibri"/>
          <w:bCs/>
        </w:rPr>
        <w:t xml:space="preserve">While it is always difficult to </w:t>
      </w:r>
      <w:r w:rsidR="00C811FB" w:rsidRPr="008710EE">
        <w:rPr>
          <w:rFonts w:ascii="Calibri" w:hAnsi="Calibri"/>
          <w:bCs/>
        </w:rPr>
        <w:t xml:space="preserve">predict </w:t>
      </w:r>
      <w:r w:rsidRPr="008710EE">
        <w:rPr>
          <w:rFonts w:ascii="Calibri" w:hAnsi="Calibri"/>
          <w:bCs/>
        </w:rPr>
        <w:t xml:space="preserve">how companies </w:t>
      </w:r>
      <w:r w:rsidR="00811C88" w:rsidRPr="008710EE">
        <w:rPr>
          <w:rFonts w:ascii="Calibri" w:hAnsi="Calibri"/>
          <w:bCs/>
        </w:rPr>
        <w:t xml:space="preserve">will </w:t>
      </w:r>
      <w:r w:rsidR="00C811FB" w:rsidRPr="008710EE">
        <w:rPr>
          <w:rFonts w:ascii="Calibri" w:hAnsi="Calibri"/>
          <w:bCs/>
        </w:rPr>
        <w:t xml:space="preserve">respond to </w:t>
      </w:r>
      <w:r w:rsidR="00811C88" w:rsidRPr="008710EE">
        <w:rPr>
          <w:rFonts w:ascii="Calibri" w:hAnsi="Calibri"/>
          <w:bCs/>
        </w:rPr>
        <w:t>regulatory initiatives</w:t>
      </w:r>
      <w:r w:rsidR="00C811FB" w:rsidRPr="008710EE">
        <w:rPr>
          <w:rFonts w:ascii="Calibri" w:hAnsi="Calibri"/>
          <w:bCs/>
        </w:rPr>
        <w:t xml:space="preserve"> like this one, s</w:t>
      </w:r>
      <w:r w:rsidR="00811C88" w:rsidRPr="008710EE">
        <w:rPr>
          <w:rFonts w:ascii="Calibri" w:hAnsi="Calibri"/>
          <w:bCs/>
        </w:rPr>
        <w:t>uffice to say that the h</w:t>
      </w:r>
      <w:r w:rsidR="00FD2D1E" w:rsidRPr="008710EE">
        <w:rPr>
          <w:rFonts w:ascii="Calibri" w:hAnsi="Calibri"/>
          <w:bCs/>
        </w:rPr>
        <w:t xml:space="preserve">istory </w:t>
      </w:r>
      <w:r w:rsidR="00811C88" w:rsidRPr="008710EE">
        <w:rPr>
          <w:rFonts w:ascii="Calibri" w:hAnsi="Calibri"/>
          <w:bCs/>
        </w:rPr>
        <w:t xml:space="preserve">of privacy self-regulation in the U.S. </w:t>
      </w:r>
      <w:r w:rsidR="00FD2D1E" w:rsidRPr="008710EE">
        <w:rPr>
          <w:rFonts w:ascii="Calibri" w:hAnsi="Calibri"/>
          <w:bCs/>
        </w:rPr>
        <w:t xml:space="preserve">teaches </w:t>
      </w:r>
      <w:r w:rsidR="00FD2D1E" w:rsidRPr="008710EE">
        <w:rPr>
          <w:rFonts w:ascii="Calibri" w:hAnsi="Calibri" w:cs="Times New Roman"/>
        </w:rPr>
        <w:t xml:space="preserve">that </w:t>
      </w:r>
      <w:r w:rsidR="00811C88" w:rsidRPr="008710EE">
        <w:rPr>
          <w:rFonts w:ascii="Calibri" w:hAnsi="Calibri" w:cs="Times New Roman"/>
        </w:rPr>
        <w:t xml:space="preserve">firms are far more willing to develop </w:t>
      </w:r>
      <w:r w:rsidR="00C811FB" w:rsidRPr="008710EE">
        <w:rPr>
          <w:rFonts w:ascii="Calibri" w:hAnsi="Calibri" w:cs="Times New Roman"/>
        </w:rPr>
        <w:t xml:space="preserve">and commit to follow </w:t>
      </w:r>
      <w:r w:rsidR="00811C88" w:rsidRPr="008710EE">
        <w:rPr>
          <w:rFonts w:ascii="Calibri" w:hAnsi="Calibri" w:cs="Times New Roman"/>
        </w:rPr>
        <w:t xml:space="preserve">a voluntary code of conduct when faced with a </w:t>
      </w:r>
      <w:r w:rsidR="00FD2D1E" w:rsidRPr="008710EE">
        <w:rPr>
          <w:rFonts w:ascii="Calibri" w:hAnsi="Calibri" w:cs="Times New Roman"/>
        </w:rPr>
        <w:t xml:space="preserve">credible threat of </w:t>
      </w:r>
      <w:r w:rsidR="00811C88" w:rsidRPr="008710EE">
        <w:rPr>
          <w:rFonts w:ascii="Calibri" w:hAnsi="Calibri" w:cs="Times New Roman"/>
        </w:rPr>
        <w:t xml:space="preserve">stricter </w:t>
      </w:r>
      <w:r w:rsidR="00FD2D1E" w:rsidRPr="008710EE">
        <w:rPr>
          <w:rFonts w:ascii="Calibri" w:hAnsi="Calibri" w:cs="Times New Roman"/>
        </w:rPr>
        <w:t>government regulation</w:t>
      </w:r>
      <w:r w:rsidR="00811C88" w:rsidRPr="008710EE">
        <w:rPr>
          <w:rFonts w:ascii="Calibri" w:hAnsi="Calibri" w:cs="Times New Roman"/>
        </w:rPr>
        <w:t xml:space="preserve"> if they fail to act.</w:t>
      </w:r>
      <w:r w:rsidR="00663FA5" w:rsidRPr="008710EE">
        <w:rPr>
          <w:rFonts w:ascii="Calibri" w:hAnsi="Calibri" w:cs="Times New Roman"/>
        </w:rPr>
        <w:t xml:space="preserve"> </w:t>
      </w:r>
      <w:r w:rsidR="00F85CDD">
        <w:rPr>
          <w:rFonts w:ascii="Calibri" w:hAnsi="Calibri" w:cs="Times New Roman"/>
        </w:rPr>
        <w:t xml:space="preserve"> </w:t>
      </w:r>
      <w:r w:rsidR="00C811FB" w:rsidRPr="008710EE">
        <w:rPr>
          <w:rFonts w:ascii="Calibri" w:hAnsi="Calibri" w:cs="Times New Roman"/>
        </w:rPr>
        <w:t>In the present case, this threat is absent, at least in the short term given that this is an election year</w:t>
      </w:r>
      <w:r w:rsidR="00F85CDD">
        <w:rPr>
          <w:rFonts w:ascii="Calibri" w:hAnsi="Calibri" w:cs="Times New Roman"/>
        </w:rPr>
        <w:t xml:space="preserve">.  It may be absent </w:t>
      </w:r>
      <w:r w:rsidR="00C811FB" w:rsidRPr="008710EE">
        <w:rPr>
          <w:rFonts w:ascii="Calibri" w:hAnsi="Calibri" w:cs="Times New Roman"/>
        </w:rPr>
        <w:t>in the long term</w:t>
      </w:r>
      <w:r w:rsidR="00F85CDD">
        <w:rPr>
          <w:rFonts w:ascii="Calibri" w:hAnsi="Calibri" w:cs="Times New Roman"/>
        </w:rPr>
        <w:t>, too</w:t>
      </w:r>
      <w:proofErr w:type="gramStart"/>
      <w:r w:rsidR="00F85CDD">
        <w:rPr>
          <w:rFonts w:ascii="Calibri" w:hAnsi="Calibri" w:cs="Times New Roman"/>
        </w:rPr>
        <w:t xml:space="preserve">, </w:t>
      </w:r>
      <w:r w:rsidR="00C811FB" w:rsidRPr="008710EE">
        <w:rPr>
          <w:rFonts w:ascii="Calibri" w:hAnsi="Calibri" w:cs="Times New Roman"/>
        </w:rPr>
        <w:t xml:space="preserve"> given</w:t>
      </w:r>
      <w:proofErr w:type="gramEnd"/>
      <w:r w:rsidR="00C811FB" w:rsidRPr="008710EE">
        <w:rPr>
          <w:rFonts w:ascii="Calibri" w:hAnsi="Calibri" w:cs="Times New Roman"/>
        </w:rPr>
        <w:t xml:space="preserve"> the </w:t>
      </w:r>
      <w:r w:rsidR="008D3107" w:rsidRPr="008710EE">
        <w:rPr>
          <w:rFonts w:ascii="Calibri" w:hAnsi="Calibri" w:cs="Times New Roman"/>
        </w:rPr>
        <w:t xml:space="preserve">difficulty </w:t>
      </w:r>
      <w:r w:rsidR="008D3107" w:rsidRPr="008710EE">
        <w:rPr>
          <w:rFonts w:ascii="Calibri" w:hAnsi="Calibri" w:cs="Times New Roman"/>
        </w:rPr>
        <w:lastRenderedPageBreak/>
        <w:t xml:space="preserve">of enacting </w:t>
      </w:r>
      <w:r w:rsidR="00C811FB" w:rsidRPr="008710EE">
        <w:rPr>
          <w:rFonts w:ascii="Calibri" w:hAnsi="Calibri" w:cs="Times New Roman"/>
        </w:rPr>
        <w:t>omnibus privacy bills</w:t>
      </w:r>
      <w:r w:rsidR="00C811FB" w:rsidRPr="008710EE">
        <w:rPr>
          <w:rStyle w:val="FootnoteReference"/>
          <w:rFonts w:ascii="Calibri" w:hAnsi="Calibri" w:cs="Times New Roman"/>
        </w:rPr>
        <w:footnoteReference w:id="12"/>
      </w:r>
      <w:r w:rsidR="00C811FB" w:rsidRPr="008710EE">
        <w:rPr>
          <w:rFonts w:ascii="Calibri" w:hAnsi="Calibri" w:cs="Times New Roman"/>
        </w:rPr>
        <w:t xml:space="preserve"> as well as Congress’ poor track record enacting </w:t>
      </w:r>
      <w:r w:rsidR="008D3107" w:rsidRPr="008710EE">
        <w:rPr>
          <w:rFonts w:ascii="Calibri" w:hAnsi="Calibri" w:cs="Times New Roman"/>
        </w:rPr>
        <w:t xml:space="preserve">even narrower </w:t>
      </w:r>
      <w:r w:rsidR="00C811FB" w:rsidRPr="008710EE">
        <w:rPr>
          <w:rFonts w:ascii="Calibri" w:hAnsi="Calibri" w:cs="Times New Roman"/>
        </w:rPr>
        <w:t xml:space="preserve">bills </w:t>
      </w:r>
      <w:r w:rsidR="00F85CDD">
        <w:rPr>
          <w:rFonts w:ascii="Calibri" w:hAnsi="Calibri" w:cs="Times New Roman"/>
        </w:rPr>
        <w:t xml:space="preserve">on </w:t>
      </w:r>
      <w:r w:rsidR="00C811FB" w:rsidRPr="008710EE">
        <w:rPr>
          <w:rFonts w:ascii="Calibri" w:hAnsi="Calibri" w:cs="Times New Roman"/>
        </w:rPr>
        <w:t xml:space="preserve">spyware </w:t>
      </w:r>
      <w:r w:rsidR="00F85CDD">
        <w:rPr>
          <w:rFonts w:ascii="Calibri" w:hAnsi="Calibri" w:cs="Times New Roman"/>
        </w:rPr>
        <w:t xml:space="preserve">or </w:t>
      </w:r>
      <w:r w:rsidR="00C811FB" w:rsidRPr="008710EE">
        <w:rPr>
          <w:rFonts w:ascii="Calibri" w:hAnsi="Calibri" w:cs="Times New Roman"/>
        </w:rPr>
        <w:t>security breach</w:t>
      </w:r>
      <w:r w:rsidR="00F85CDD">
        <w:rPr>
          <w:rFonts w:ascii="Calibri" w:hAnsi="Calibri" w:cs="Times New Roman"/>
        </w:rPr>
        <w:t xml:space="preserve"> notification</w:t>
      </w:r>
      <w:r w:rsidR="00C811FB" w:rsidRPr="008710EE">
        <w:rPr>
          <w:rFonts w:ascii="Calibri" w:hAnsi="Calibri" w:cs="Times New Roman"/>
        </w:rPr>
        <w:t>.</w:t>
      </w:r>
      <w:r w:rsidR="002B2D12" w:rsidRPr="008710EE">
        <w:rPr>
          <w:rFonts w:ascii="Calibri" w:hAnsi="Calibri" w:cs="Times New Roman"/>
        </w:rPr>
        <w:t xml:space="preserve"> </w:t>
      </w:r>
      <w:r w:rsidR="00F85CDD">
        <w:rPr>
          <w:rFonts w:ascii="Calibri" w:hAnsi="Calibri" w:cs="Times New Roman"/>
        </w:rPr>
        <w:t xml:space="preserve"> </w:t>
      </w:r>
      <w:r w:rsidR="002B2D12" w:rsidRPr="008710EE">
        <w:rPr>
          <w:rFonts w:ascii="Calibri" w:hAnsi="Calibri" w:cs="Times New Roman"/>
        </w:rPr>
        <w:t xml:space="preserve">Given this, </w:t>
      </w:r>
      <w:r w:rsidR="00F85CDD">
        <w:rPr>
          <w:rFonts w:ascii="Calibri" w:hAnsi="Calibri" w:cs="Times New Roman"/>
        </w:rPr>
        <w:t xml:space="preserve">the </w:t>
      </w:r>
      <w:r w:rsidR="002B2D12" w:rsidRPr="008710EE">
        <w:rPr>
          <w:rFonts w:ascii="Calibri" w:hAnsi="Calibri" w:cs="Times New Roman"/>
        </w:rPr>
        <w:t xml:space="preserve">FTC should seek </w:t>
      </w:r>
      <w:r w:rsidR="00F85CDD">
        <w:rPr>
          <w:rFonts w:ascii="Calibri" w:hAnsi="Calibri" w:cs="Times New Roman"/>
        </w:rPr>
        <w:t xml:space="preserve">to </w:t>
      </w:r>
      <w:r w:rsidR="002B2D12" w:rsidRPr="008710EE">
        <w:rPr>
          <w:rFonts w:ascii="Calibri" w:hAnsi="Calibri" w:cs="Times New Roman"/>
        </w:rPr>
        <w:t xml:space="preserve">use both the “deceptive” and “unfair” prongs of its existing enforcement authority, as outlined above, in order to </w:t>
      </w:r>
      <w:r w:rsidR="000043A5">
        <w:rPr>
          <w:rFonts w:ascii="Calibri" w:hAnsi="Calibri" w:cs="Times New Roman"/>
        </w:rPr>
        <w:t xml:space="preserve">pursue a new enforcement strategy that </w:t>
      </w:r>
      <w:r w:rsidR="002B2D12" w:rsidRPr="008710EE">
        <w:rPr>
          <w:rFonts w:ascii="Calibri" w:hAnsi="Calibri" w:cs="Times New Roman"/>
        </w:rPr>
        <w:t>give firms more incentive to participate</w:t>
      </w:r>
      <w:r w:rsidR="000043A5">
        <w:rPr>
          <w:rFonts w:ascii="Calibri" w:hAnsi="Calibri" w:cs="Times New Roman"/>
        </w:rPr>
        <w:t xml:space="preserve"> in the MSH process</w:t>
      </w:r>
      <w:r w:rsidR="002B2D12" w:rsidRPr="008710EE">
        <w:rPr>
          <w:rFonts w:ascii="Calibri" w:hAnsi="Calibri" w:cs="Times New Roman"/>
        </w:rPr>
        <w:t>.</w:t>
      </w:r>
    </w:p>
    <w:p w14:paraId="3E2D5CB7" w14:textId="77777777" w:rsidR="003416E5" w:rsidRDefault="003416E5" w:rsidP="00AF1AD2">
      <w:pPr>
        <w:widowControl w:val="0"/>
        <w:autoSpaceDE w:val="0"/>
        <w:autoSpaceDN w:val="0"/>
        <w:adjustRightInd w:val="0"/>
        <w:rPr>
          <w:rFonts w:ascii="Calibri" w:hAnsi="Calibri" w:cs="Times New Roman"/>
        </w:rPr>
      </w:pPr>
    </w:p>
    <w:p w14:paraId="640F97D3" w14:textId="77777777" w:rsidR="003416E5" w:rsidRPr="008710EE" w:rsidRDefault="003416E5" w:rsidP="003416E5">
      <w:pPr>
        <w:widowControl w:val="0"/>
        <w:autoSpaceDE w:val="0"/>
        <w:autoSpaceDN w:val="0"/>
        <w:adjustRightInd w:val="0"/>
        <w:outlineLvl w:val="0"/>
        <w:rPr>
          <w:rFonts w:ascii="Calibri" w:hAnsi="Calibri" w:cs="Times New Roman"/>
          <w:b/>
        </w:rPr>
      </w:pPr>
      <w:r w:rsidRPr="008710EE">
        <w:rPr>
          <w:rFonts w:ascii="Calibri" w:hAnsi="Calibri" w:cs="Times New Roman"/>
          <w:b/>
        </w:rPr>
        <w:t>Environmental Covenants</w:t>
      </w:r>
      <w:r w:rsidR="00FE1692">
        <w:rPr>
          <w:rFonts w:ascii="Calibri" w:hAnsi="Calibri" w:cs="Times New Roman"/>
          <w:b/>
        </w:rPr>
        <w:t xml:space="preserve"> as a Model for the </w:t>
      </w:r>
      <w:r w:rsidR="00AF4659">
        <w:rPr>
          <w:rFonts w:ascii="Calibri" w:hAnsi="Calibri" w:cs="Times New Roman"/>
          <w:b/>
        </w:rPr>
        <w:t>Multistakeholder</w:t>
      </w:r>
      <w:r w:rsidR="00FE1692">
        <w:rPr>
          <w:rFonts w:ascii="Calibri" w:hAnsi="Calibri" w:cs="Times New Roman"/>
          <w:b/>
        </w:rPr>
        <w:t xml:space="preserve"> Process</w:t>
      </w:r>
    </w:p>
    <w:p w14:paraId="45405CC8" w14:textId="77777777" w:rsidR="003416E5" w:rsidRPr="008710EE" w:rsidRDefault="003416E5" w:rsidP="003416E5">
      <w:pPr>
        <w:widowControl w:val="0"/>
        <w:autoSpaceDE w:val="0"/>
        <w:autoSpaceDN w:val="0"/>
        <w:adjustRightInd w:val="0"/>
        <w:rPr>
          <w:rFonts w:ascii="Calibri" w:hAnsi="Calibri" w:cs="Times New Roman"/>
        </w:rPr>
      </w:pPr>
    </w:p>
    <w:p w14:paraId="51344A68" w14:textId="7FBC0B94" w:rsidR="003416E5" w:rsidRPr="008710EE" w:rsidRDefault="003416E5" w:rsidP="003416E5">
      <w:pPr>
        <w:widowControl w:val="0"/>
        <w:autoSpaceDE w:val="0"/>
        <w:autoSpaceDN w:val="0"/>
        <w:adjustRightInd w:val="0"/>
        <w:rPr>
          <w:rFonts w:ascii="Calibri" w:hAnsi="Calibri"/>
          <w:bCs/>
        </w:rPr>
      </w:pPr>
      <w:r w:rsidRPr="008710EE">
        <w:rPr>
          <w:rFonts w:ascii="Calibri" w:hAnsi="Calibri" w:cs="Times New Roman"/>
        </w:rPr>
        <w:t>The</w:t>
      </w:r>
      <w:r w:rsidRPr="008710EE">
        <w:rPr>
          <w:rFonts w:ascii="Calibri" w:hAnsi="Calibri"/>
          <w:bCs/>
        </w:rPr>
        <w:t xml:space="preserve"> </w:t>
      </w:r>
      <w:r w:rsidR="00C60D01">
        <w:rPr>
          <w:rFonts w:ascii="Calibri" w:hAnsi="Calibri"/>
          <w:bCs/>
        </w:rPr>
        <w:t>White Paper</w:t>
      </w:r>
      <w:r w:rsidRPr="008710EE">
        <w:rPr>
          <w:rFonts w:ascii="Calibri" w:hAnsi="Calibri"/>
          <w:bCs/>
        </w:rPr>
        <w:t xml:space="preserve"> encourages companies, industry groups, privacy advocates, consumer groups, academics and a variety of government officials to participate in </w:t>
      </w:r>
      <w:r>
        <w:rPr>
          <w:rFonts w:ascii="Calibri" w:hAnsi="Calibri"/>
          <w:bCs/>
        </w:rPr>
        <w:t>MSH</w:t>
      </w:r>
      <w:r w:rsidRPr="008710EE">
        <w:rPr>
          <w:rFonts w:ascii="Calibri" w:hAnsi="Calibri"/>
          <w:bCs/>
        </w:rPr>
        <w:t xml:space="preserve"> processes to develop codes of conduct that implement the CPBR. </w:t>
      </w:r>
      <w:r w:rsidR="00863A61">
        <w:rPr>
          <w:rFonts w:ascii="Calibri" w:hAnsi="Calibri"/>
          <w:bCs/>
        </w:rPr>
        <w:t>It claims that t</w:t>
      </w:r>
      <w:r w:rsidRPr="008710EE">
        <w:rPr>
          <w:rFonts w:ascii="Calibri" w:hAnsi="Calibri"/>
          <w:bCs/>
        </w:rPr>
        <w:t xml:space="preserve">his approach has several advantages including flexibility, speed, decentralization, and creativity. </w:t>
      </w:r>
      <w:r w:rsidR="00FB79AE">
        <w:rPr>
          <w:rFonts w:ascii="Calibri" w:hAnsi="Calibri"/>
          <w:bCs/>
        </w:rPr>
        <w:t xml:space="preserve"> </w:t>
      </w:r>
      <w:r w:rsidRPr="008710EE">
        <w:rPr>
          <w:rFonts w:ascii="Calibri" w:hAnsi="Calibri"/>
          <w:bCs/>
        </w:rPr>
        <w:t>The Administration cites as a precedent the work of Internet standards groups</w:t>
      </w:r>
      <w:r w:rsidR="002C07F1">
        <w:rPr>
          <w:rFonts w:ascii="Calibri" w:hAnsi="Calibri"/>
          <w:bCs/>
        </w:rPr>
        <w:t>, noting that these organizations</w:t>
      </w:r>
      <w:r w:rsidRPr="008710EE">
        <w:rPr>
          <w:rFonts w:ascii="Calibri" w:hAnsi="Calibri"/>
          <w:bCs/>
        </w:rPr>
        <w:t xml:space="preserve"> “frequently function on the basis of consensus and are amenable to the participation of individuals and groups with limited resources” and that these characteristics “lend legitimacy to the groups and their solutions” as does the use of open and transparent processes.</w:t>
      </w:r>
      <w:r w:rsidRPr="008710EE">
        <w:rPr>
          <w:rStyle w:val="FootnoteReference"/>
          <w:rFonts w:ascii="Calibri" w:hAnsi="Calibri"/>
          <w:bCs/>
        </w:rPr>
        <w:footnoteReference w:id="13"/>
      </w:r>
      <w:r w:rsidRPr="008710EE">
        <w:rPr>
          <w:rFonts w:ascii="Calibri" w:hAnsi="Calibri"/>
          <w:bCs/>
        </w:rPr>
        <w:t xml:space="preserve">   </w:t>
      </w:r>
    </w:p>
    <w:p w14:paraId="5E176B3F" w14:textId="77777777" w:rsidR="003416E5" w:rsidRPr="008710EE" w:rsidRDefault="003416E5" w:rsidP="003416E5">
      <w:pPr>
        <w:widowControl w:val="0"/>
        <w:autoSpaceDE w:val="0"/>
        <w:autoSpaceDN w:val="0"/>
        <w:adjustRightInd w:val="0"/>
        <w:rPr>
          <w:rFonts w:ascii="Calibri" w:hAnsi="Calibri"/>
          <w:bCs/>
        </w:rPr>
      </w:pPr>
    </w:p>
    <w:p w14:paraId="437A2634" w14:textId="02B5DFEB" w:rsidR="003416E5" w:rsidRPr="008710EE" w:rsidRDefault="00554BD3" w:rsidP="003416E5">
      <w:pPr>
        <w:widowControl w:val="0"/>
        <w:autoSpaceDE w:val="0"/>
        <w:autoSpaceDN w:val="0"/>
        <w:adjustRightInd w:val="0"/>
        <w:rPr>
          <w:rFonts w:ascii="Calibri" w:hAnsi="Calibri"/>
          <w:bCs/>
        </w:rPr>
      </w:pPr>
      <w:r>
        <w:rPr>
          <w:rFonts w:ascii="Calibri" w:hAnsi="Calibri"/>
          <w:bCs/>
        </w:rPr>
        <w:t xml:space="preserve">We </w:t>
      </w:r>
      <w:r w:rsidR="0019463F">
        <w:rPr>
          <w:rFonts w:ascii="Calibri" w:hAnsi="Calibri"/>
          <w:bCs/>
        </w:rPr>
        <w:t xml:space="preserve">find </w:t>
      </w:r>
      <w:r w:rsidR="002C07F1">
        <w:rPr>
          <w:rFonts w:ascii="Calibri" w:hAnsi="Calibri"/>
          <w:bCs/>
        </w:rPr>
        <w:t xml:space="preserve">the analogy to </w:t>
      </w:r>
      <w:r w:rsidR="00316F50">
        <w:rPr>
          <w:rFonts w:ascii="Calibri" w:hAnsi="Calibri"/>
          <w:bCs/>
        </w:rPr>
        <w:t>I</w:t>
      </w:r>
      <w:r w:rsidR="003416E5" w:rsidRPr="008710EE">
        <w:rPr>
          <w:rFonts w:ascii="Calibri" w:hAnsi="Calibri"/>
          <w:bCs/>
        </w:rPr>
        <w:t xml:space="preserve">nternet standards processes </w:t>
      </w:r>
      <w:r>
        <w:rPr>
          <w:rFonts w:ascii="Calibri" w:hAnsi="Calibri"/>
          <w:bCs/>
        </w:rPr>
        <w:t xml:space="preserve">to be </w:t>
      </w:r>
      <w:r w:rsidR="002C07F1">
        <w:rPr>
          <w:rFonts w:ascii="Calibri" w:hAnsi="Calibri"/>
          <w:bCs/>
        </w:rPr>
        <w:t xml:space="preserve">a strained one.  Such standard-setting processes </w:t>
      </w:r>
      <w:r w:rsidR="003416E5" w:rsidRPr="008710EE">
        <w:rPr>
          <w:rFonts w:ascii="Calibri" w:hAnsi="Calibri"/>
          <w:bCs/>
        </w:rPr>
        <w:t xml:space="preserve">differ from the </w:t>
      </w:r>
      <w:r w:rsidR="003416E5">
        <w:rPr>
          <w:rFonts w:ascii="Calibri" w:hAnsi="Calibri"/>
          <w:bCs/>
        </w:rPr>
        <w:t>MSH</w:t>
      </w:r>
      <w:r w:rsidR="003416E5" w:rsidRPr="008710EE">
        <w:rPr>
          <w:rFonts w:ascii="Calibri" w:hAnsi="Calibri"/>
          <w:bCs/>
        </w:rPr>
        <w:t xml:space="preserve"> privacy process</w:t>
      </w:r>
      <w:r w:rsidR="00AB3A61">
        <w:rPr>
          <w:rFonts w:ascii="Calibri" w:hAnsi="Calibri"/>
          <w:bCs/>
        </w:rPr>
        <w:t xml:space="preserve"> in at least two important ways</w:t>
      </w:r>
      <w:r w:rsidR="003416E5" w:rsidRPr="008710EE">
        <w:rPr>
          <w:rFonts w:ascii="Calibri" w:hAnsi="Calibri"/>
          <w:bCs/>
        </w:rPr>
        <w:t>.</w:t>
      </w:r>
      <w:r w:rsidR="00FB79AE">
        <w:rPr>
          <w:rFonts w:ascii="Calibri" w:hAnsi="Calibri"/>
          <w:bCs/>
        </w:rPr>
        <w:t xml:space="preserve"> </w:t>
      </w:r>
      <w:r w:rsidR="003416E5" w:rsidRPr="008710EE">
        <w:rPr>
          <w:rFonts w:ascii="Calibri" w:hAnsi="Calibri"/>
          <w:bCs/>
        </w:rPr>
        <w:t xml:space="preserve"> First, the main goal of Internet standards is interoperability, which is achieved by defining protocols, messaging formats, schemas, and languages.  Interoperability motivates compan</w:t>
      </w:r>
      <w:r w:rsidR="003416E5">
        <w:rPr>
          <w:rFonts w:ascii="Calibri" w:hAnsi="Calibri"/>
          <w:bCs/>
        </w:rPr>
        <w:t>y participation</w:t>
      </w:r>
      <w:r w:rsidR="003416E5" w:rsidRPr="008710EE">
        <w:rPr>
          <w:rFonts w:ascii="Calibri" w:hAnsi="Calibri"/>
          <w:bCs/>
        </w:rPr>
        <w:t xml:space="preserve"> for the simple reason that unless a company’s products or services interoperate with the network</w:t>
      </w:r>
      <w:r w:rsidR="003416E5">
        <w:rPr>
          <w:rFonts w:ascii="Calibri" w:hAnsi="Calibri"/>
          <w:bCs/>
        </w:rPr>
        <w:t xml:space="preserve"> infrastructure</w:t>
      </w:r>
      <w:r w:rsidR="003416E5" w:rsidRPr="008710EE">
        <w:rPr>
          <w:rFonts w:ascii="Calibri" w:hAnsi="Calibri"/>
          <w:bCs/>
        </w:rPr>
        <w:t xml:space="preserve">, hardware, and software that make up the Internet, they’re out of business. </w:t>
      </w:r>
      <w:r w:rsidR="00FB79AE">
        <w:rPr>
          <w:rFonts w:ascii="Calibri" w:hAnsi="Calibri"/>
          <w:bCs/>
        </w:rPr>
        <w:t xml:space="preserve"> </w:t>
      </w:r>
      <w:r w:rsidR="003416E5" w:rsidRPr="008710EE">
        <w:rPr>
          <w:rFonts w:ascii="Calibri" w:hAnsi="Calibri"/>
          <w:bCs/>
        </w:rPr>
        <w:t>Moreover, companies with specific views on how to achieve interoperability recognize that they are f</w:t>
      </w:r>
      <w:r w:rsidR="003416E5">
        <w:rPr>
          <w:rFonts w:ascii="Calibri" w:hAnsi="Calibri"/>
          <w:bCs/>
        </w:rPr>
        <w:t xml:space="preserve">ar more likely to influence </w:t>
      </w:r>
      <w:r w:rsidR="003416E5" w:rsidRPr="008710EE">
        <w:rPr>
          <w:rFonts w:ascii="Calibri" w:hAnsi="Calibri"/>
          <w:bCs/>
        </w:rPr>
        <w:t>a s</w:t>
      </w:r>
      <w:r w:rsidR="003416E5">
        <w:rPr>
          <w:rFonts w:ascii="Calibri" w:hAnsi="Calibri"/>
          <w:bCs/>
        </w:rPr>
        <w:t>tandard</w:t>
      </w:r>
      <w:r w:rsidR="003416E5" w:rsidRPr="008710EE">
        <w:rPr>
          <w:rFonts w:ascii="Calibri" w:hAnsi="Calibri"/>
          <w:bCs/>
        </w:rPr>
        <w:t xml:space="preserve"> if they are at the table than if they stay away.</w:t>
      </w:r>
      <w:r w:rsidR="00316F50">
        <w:rPr>
          <w:rFonts w:ascii="Calibri" w:hAnsi="Calibri"/>
          <w:bCs/>
        </w:rPr>
        <w:t xml:space="preserve">  Thus, the goal of interoperability naturally draws participants to the table and makes them amenable to </w:t>
      </w:r>
      <w:r w:rsidR="00F37F49">
        <w:rPr>
          <w:rFonts w:ascii="Calibri" w:hAnsi="Calibri"/>
          <w:bCs/>
        </w:rPr>
        <w:t xml:space="preserve">a joint </w:t>
      </w:r>
      <w:r w:rsidR="00316F50">
        <w:rPr>
          <w:rFonts w:ascii="Calibri" w:hAnsi="Calibri"/>
          <w:bCs/>
        </w:rPr>
        <w:t xml:space="preserve">solution.  </w:t>
      </w:r>
      <w:r w:rsidR="003416E5" w:rsidRPr="008710EE">
        <w:rPr>
          <w:rFonts w:ascii="Calibri" w:hAnsi="Calibri"/>
          <w:bCs/>
        </w:rPr>
        <w:t>Second, Internet standards bodies such as the Internet Engineering Task Force (IETF) emphasize “</w:t>
      </w:r>
      <w:r w:rsidR="003416E5">
        <w:rPr>
          <w:rFonts w:ascii="Calibri" w:hAnsi="Calibri"/>
          <w:bCs/>
        </w:rPr>
        <w:t xml:space="preserve">rough </w:t>
      </w:r>
      <w:r w:rsidR="003416E5" w:rsidRPr="008710EE">
        <w:rPr>
          <w:rFonts w:ascii="Calibri" w:hAnsi="Calibri"/>
          <w:bCs/>
        </w:rPr>
        <w:t>consensus and running code,” which is a short-hand way of saying that while everyone who participates has an opportunity to be heard, consensus requires not just verbal persuasion but evidence of two or more independently developed interoperating implementations.</w:t>
      </w:r>
      <w:r w:rsidR="00FB79AE">
        <w:rPr>
          <w:rFonts w:ascii="Calibri" w:hAnsi="Calibri"/>
          <w:bCs/>
        </w:rPr>
        <w:t xml:space="preserve"> </w:t>
      </w:r>
      <w:r w:rsidR="003416E5" w:rsidRPr="008710EE">
        <w:rPr>
          <w:rFonts w:ascii="Calibri" w:hAnsi="Calibri"/>
          <w:bCs/>
        </w:rPr>
        <w:t xml:space="preserve"> The IETF standards process relies on working implementations both as an objective (or at least a pragmatic) measure of expertise (which participants are worth listening to) and progress (how </w:t>
      </w:r>
      <w:r w:rsidR="00F85CDD">
        <w:rPr>
          <w:rFonts w:ascii="Calibri" w:hAnsi="Calibri"/>
          <w:bCs/>
        </w:rPr>
        <w:t xml:space="preserve">to </w:t>
      </w:r>
      <w:r w:rsidR="003416E5" w:rsidRPr="008710EE">
        <w:rPr>
          <w:rFonts w:ascii="Calibri" w:hAnsi="Calibri"/>
          <w:bCs/>
        </w:rPr>
        <w:t xml:space="preserve">know when the process is complete). </w:t>
      </w:r>
      <w:r w:rsidR="00FB79AE">
        <w:rPr>
          <w:rFonts w:ascii="Calibri" w:hAnsi="Calibri"/>
          <w:bCs/>
        </w:rPr>
        <w:t xml:space="preserve"> </w:t>
      </w:r>
      <w:r w:rsidR="003416E5" w:rsidRPr="008710EE">
        <w:rPr>
          <w:rFonts w:ascii="Calibri" w:hAnsi="Calibri"/>
          <w:bCs/>
        </w:rPr>
        <w:t>It’s not over until the running code sings.</w:t>
      </w:r>
      <w:r w:rsidR="003416E5" w:rsidRPr="008710EE">
        <w:rPr>
          <w:rStyle w:val="FootnoteReference"/>
          <w:rFonts w:ascii="Calibri" w:hAnsi="Calibri"/>
          <w:bCs/>
        </w:rPr>
        <w:footnoteReference w:id="14"/>
      </w:r>
    </w:p>
    <w:p w14:paraId="40187C52" w14:textId="77777777" w:rsidR="003416E5" w:rsidRPr="008710EE" w:rsidRDefault="003416E5" w:rsidP="003416E5">
      <w:pPr>
        <w:widowControl w:val="0"/>
        <w:autoSpaceDE w:val="0"/>
        <w:autoSpaceDN w:val="0"/>
        <w:adjustRightInd w:val="0"/>
        <w:rPr>
          <w:rFonts w:ascii="Calibri" w:hAnsi="Calibri"/>
          <w:bCs/>
        </w:rPr>
      </w:pPr>
    </w:p>
    <w:p w14:paraId="0666310E" w14:textId="165BE48F" w:rsidR="003416E5" w:rsidRDefault="003416E5" w:rsidP="003416E5">
      <w:pPr>
        <w:widowControl w:val="0"/>
        <w:autoSpaceDE w:val="0"/>
        <w:autoSpaceDN w:val="0"/>
        <w:adjustRightInd w:val="0"/>
        <w:rPr>
          <w:rFonts w:ascii="Calibri" w:hAnsi="Calibri"/>
          <w:bCs/>
        </w:rPr>
      </w:pPr>
      <w:r w:rsidRPr="008710EE">
        <w:rPr>
          <w:rFonts w:ascii="Calibri" w:hAnsi="Calibri"/>
          <w:bCs/>
        </w:rPr>
        <w:t xml:space="preserve">The </w:t>
      </w:r>
      <w:r>
        <w:rPr>
          <w:rFonts w:ascii="Calibri" w:hAnsi="Calibri"/>
          <w:bCs/>
        </w:rPr>
        <w:t>MSH</w:t>
      </w:r>
      <w:r w:rsidRPr="008710EE">
        <w:rPr>
          <w:rFonts w:ascii="Calibri" w:hAnsi="Calibri"/>
          <w:bCs/>
        </w:rPr>
        <w:t xml:space="preserve"> process lacks both of these characteristics. As </w:t>
      </w:r>
      <w:r w:rsidR="00AC2CB4">
        <w:rPr>
          <w:rFonts w:ascii="Calibri" w:hAnsi="Calibri"/>
          <w:bCs/>
        </w:rPr>
        <w:t xml:space="preserve">was </w:t>
      </w:r>
      <w:r w:rsidRPr="008710EE">
        <w:rPr>
          <w:rFonts w:ascii="Calibri" w:hAnsi="Calibri"/>
          <w:bCs/>
        </w:rPr>
        <w:t xml:space="preserve">discussed </w:t>
      </w:r>
      <w:r w:rsidR="00316F50">
        <w:rPr>
          <w:rFonts w:ascii="Calibri" w:hAnsi="Calibri"/>
          <w:bCs/>
        </w:rPr>
        <w:t>above</w:t>
      </w:r>
      <w:r w:rsidRPr="008710EE">
        <w:rPr>
          <w:rFonts w:ascii="Calibri" w:hAnsi="Calibri"/>
          <w:bCs/>
        </w:rPr>
        <w:t xml:space="preserve">, companies may boycott the process with relative impunity—doing so would certainly not prevent them from selling a product that </w:t>
      </w:r>
      <w:r>
        <w:rPr>
          <w:rFonts w:ascii="Calibri" w:hAnsi="Calibri"/>
          <w:bCs/>
        </w:rPr>
        <w:t xml:space="preserve">both </w:t>
      </w:r>
      <w:r w:rsidRPr="008710EE">
        <w:rPr>
          <w:rFonts w:ascii="Calibri" w:hAnsi="Calibri"/>
          <w:bCs/>
        </w:rPr>
        <w:t xml:space="preserve">works and </w:t>
      </w:r>
      <w:r>
        <w:rPr>
          <w:rFonts w:ascii="Calibri" w:hAnsi="Calibri"/>
          <w:bCs/>
        </w:rPr>
        <w:t>turns a profit</w:t>
      </w:r>
      <w:r w:rsidRPr="008710EE">
        <w:rPr>
          <w:rFonts w:ascii="Calibri" w:hAnsi="Calibri"/>
          <w:bCs/>
        </w:rPr>
        <w:t xml:space="preserve">. </w:t>
      </w:r>
      <w:r w:rsidR="00FB79AE">
        <w:rPr>
          <w:rFonts w:ascii="Calibri" w:hAnsi="Calibri"/>
          <w:bCs/>
        </w:rPr>
        <w:t xml:space="preserve"> </w:t>
      </w:r>
      <w:r w:rsidRPr="008710EE">
        <w:rPr>
          <w:rFonts w:ascii="Calibri" w:hAnsi="Calibri"/>
          <w:bCs/>
        </w:rPr>
        <w:t xml:space="preserve">Nor is there an objective measure of success analogous to running code. </w:t>
      </w:r>
      <w:r w:rsidR="00FB79AE">
        <w:rPr>
          <w:rFonts w:ascii="Calibri" w:hAnsi="Calibri"/>
          <w:bCs/>
        </w:rPr>
        <w:t xml:space="preserve"> </w:t>
      </w:r>
      <w:r w:rsidRPr="008710EE">
        <w:rPr>
          <w:rFonts w:ascii="Calibri" w:hAnsi="Calibri"/>
          <w:bCs/>
        </w:rPr>
        <w:t xml:space="preserve">Although the Administration emphasizes consensus, diversity of participation, openness and transparency as the characteristics that will ensure the legitimacy of the </w:t>
      </w:r>
      <w:r>
        <w:rPr>
          <w:rFonts w:ascii="Calibri" w:hAnsi="Calibri"/>
          <w:bCs/>
        </w:rPr>
        <w:t>MSH</w:t>
      </w:r>
      <w:r w:rsidRPr="008710EE">
        <w:rPr>
          <w:rFonts w:ascii="Calibri" w:hAnsi="Calibri"/>
          <w:bCs/>
        </w:rPr>
        <w:t xml:space="preserve"> process, the dissimilarities with the Internet standards process </w:t>
      </w:r>
      <w:r w:rsidR="00FB79AE">
        <w:rPr>
          <w:rFonts w:ascii="Calibri" w:hAnsi="Calibri"/>
          <w:bCs/>
        </w:rPr>
        <w:t>are</w:t>
      </w:r>
      <w:r>
        <w:rPr>
          <w:rFonts w:ascii="Calibri" w:hAnsi="Calibri"/>
          <w:bCs/>
        </w:rPr>
        <w:t xml:space="preserve"> worrisome. </w:t>
      </w:r>
    </w:p>
    <w:p w14:paraId="1974A2B5" w14:textId="77777777" w:rsidR="003416E5" w:rsidRDefault="003416E5" w:rsidP="003416E5">
      <w:pPr>
        <w:widowControl w:val="0"/>
        <w:autoSpaceDE w:val="0"/>
        <w:autoSpaceDN w:val="0"/>
        <w:adjustRightInd w:val="0"/>
        <w:rPr>
          <w:rFonts w:ascii="Calibri" w:hAnsi="Calibri"/>
          <w:bCs/>
        </w:rPr>
      </w:pPr>
    </w:p>
    <w:p w14:paraId="2A92AB35" w14:textId="77777777" w:rsidR="00F470ED" w:rsidRDefault="003416E5" w:rsidP="003416E5">
      <w:pPr>
        <w:widowControl w:val="0"/>
        <w:autoSpaceDE w:val="0"/>
        <w:autoSpaceDN w:val="0"/>
        <w:adjustRightInd w:val="0"/>
        <w:rPr>
          <w:rFonts w:ascii="Calibri" w:hAnsi="Calibri"/>
          <w:bCs/>
        </w:rPr>
      </w:pPr>
      <w:r>
        <w:rPr>
          <w:rFonts w:ascii="Calibri" w:hAnsi="Calibri"/>
          <w:bCs/>
        </w:rPr>
        <w:t>W</w:t>
      </w:r>
      <w:r w:rsidRPr="008710EE">
        <w:rPr>
          <w:rFonts w:ascii="Calibri" w:hAnsi="Calibri"/>
          <w:bCs/>
        </w:rPr>
        <w:t xml:space="preserve">e believe </w:t>
      </w:r>
      <w:r>
        <w:rPr>
          <w:rFonts w:ascii="Calibri" w:hAnsi="Calibri"/>
          <w:bCs/>
        </w:rPr>
        <w:t xml:space="preserve">that </w:t>
      </w:r>
      <w:r w:rsidRPr="008710EE">
        <w:rPr>
          <w:rFonts w:ascii="Calibri" w:hAnsi="Calibri"/>
          <w:bCs/>
        </w:rPr>
        <w:t xml:space="preserve">the environmental </w:t>
      </w:r>
      <w:r>
        <w:rPr>
          <w:rFonts w:ascii="Calibri" w:hAnsi="Calibri"/>
          <w:bCs/>
        </w:rPr>
        <w:t>covenants are more analogous to</w:t>
      </w:r>
      <w:r w:rsidR="00AC2CB4">
        <w:rPr>
          <w:rFonts w:ascii="Calibri" w:hAnsi="Calibri"/>
          <w:bCs/>
        </w:rPr>
        <w:t>, and offer a better model for,</w:t>
      </w:r>
      <w:r>
        <w:rPr>
          <w:rFonts w:ascii="Calibri" w:hAnsi="Calibri"/>
          <w:bCs/>
        </w:rPr>
        <w:t xml:space="preserve"> the Administration’s proposed MSH </w:t>
      </w:r>
      <w:r w:rsidR="00AC2CB4">
        <w:rPr>
          <w:rFonts w:ascii="Calibri" w:hAnsi="Calibri"/>
          <w:bCs/>
        </w:rPr>
        <w:t xml:space="preserve">codes than </w:t>
      </w:r>
      <w:r w:rsidR="00191EF3">
        <w:rPr>
          <w:rFonts w:ascii="Calibri" w:hAnsi="Calibri"/>
          <w:bCs/>
        </w:rPr>
        <w:t xml:space="preserve">do </w:t>
      </w:r>
      <w:r w:rsidR="00AB3A61">
        <w:rPr>
          <w:rFonts w:ascii="Calibri" w:hAnsi="Calibri"/>
          <w:bCs/>
        </w:rPr>
        <w:t>Internet standard</w:t>
      </w:r>
      <w:r w:rsidR="00103BC6">
        <w:rPr>
          <w:rFonts w:ascii="Calibri" w:hAnsi="Calibri"/>
          <w:bCs/>
        </w:rPr>
        <w:t xml:space="preserve">s </w:t>
      </w:r>
      <w:r w:rsidR="00AB3A61">
        <w:rPr>
          <w:rFonts w:ascii="Calibri" w:hAnsi="Calibri"/>
          <w:bCs/>
        </w:rPr>
        <w:t xml:space="preserve">processes.  Environmental covenants are agreements negotiated between regulators, regulated firms and, in some cases, environmental advocates that specify what a given industry must do to </w:t>
      </w:r>
      <w:r w:rsidR="00103BC6">
        <w:rPr>
          <w:rFonts w:ascii="Calibri" w:hAnsi="Calibri"/>
          <w:bCs/>
        </w:rPr>
        <w:t>improve its environmental performance</w:t>
      </w:r>
      <w:r w:rsidR="00AB3A61">
        <w:rPr>
          <w:rFonts w:ascii="Calibri" w:hAnsi="Calibri"/>
          <w:bCs/>
        </w:rPr>
        <w:t xml:space="preserve">. </w:t>
      </w:r>
      <w:r w:rsidR="00F470ED">
        <w:rPr>
          <w:rFonts w:ascii="Calibri" w:hAnsi="Calibri"/>
          <w:bCs/>
        </w:rPr>
        <w:t xml:space="preserve"> </w:t>
      </w:r>
      <w:r w:rsidR="00F470ED" w:rsidRPr="008710EE">
        <w:rPr>
          <w:rFonts w:ascii="Calibri" w:hAnsi="Calibri" w:cs="Times New Roman"/>
        </w:rPr>
        <w:t>The negotiations may take place in either of two contexts: (1) where government already regulates the relevant area</w:t>
      </w:r>
      <w:r w:rsidR="00AC2CB4">
        <w:rPr>
          <w:rFonts w:ascii="Calibri" w:hAnsi="Calibri" w:cs="Times New Roman"/>
        </w:rPr>
        <w:t xml:space="preserve"> and the agreement, if reached, would substitute for traditional rules; </w:t>
      </w:r>
      <w:r w:rsidR="00F470ED" w:rsidRPr="008710EE">
        <w:rPr>
          <w:rFonts w:ascii="Calibri" w:hAnsi="Calibri" w:cs="Times New Roman"/>
        </w:rPr>
        <w:t>or (2) where government is threatening to regulate an area but has not yet done so</w:t>
      </w:r>
      <w:r w:rsidR="00AC2CB4">
        <w:rPr>
          <w:rFonts w:ascii="Calibri" w:hAnsi="Calibri" w:cs="Times New Roman"/>
        </w:rPr>
        <w:t xml:space="preserve"> and the agreement, if reached, would pre-empt the threatened regulation</w:t>
      </w:r>
      <w:r w:rsidR="00F470ED" w:rsidRPr="008710EE">
        <w:rPr>
          <w:rFonts w:ascii="Calibri" w:hAnsi="Calibri" w:cs="Times New Roman"/>
        </w:rPr>
        <w:t>.</w:t>
      </w:r>
      <w:r w:rsidR="00FB79AE">
        <w:rPr>
          <w:rFonts w:ascii="Calibri" w:hAnsi="Calibri" w:cs="Times New Roman"/>
        </w:rPr>
        <w:t xml:space="preserve"> </w:t>
      </w:r>
      <w:r w:rsidR="00F470ED" w:rsidRPr="008710EE">
        <w:rPr>
          <w:rFonts w:ascii="Calibri" w:hAnsi="Calibri" w:cs="Times New Roman"/>
        </w:rPr>
        <w:t xml:space="preserve"> In both cases, the goal is to achieve greater flexibility and responsiveness to specific conditions and more rapid improvements than would otherwise occur under prescriptive government regulation (</w:t>
      </w:r>
      <w:r w:rsidR="00704D29">
        <w:rPr>
          <w:rFonts w:ascii="Calibri" w:hAnsi="Calibri" w:cs="Times New Roman"/>
        </w:rPr>
        <w:t xml:space="preserve">existing or </w:t>
      </w:r>
      <w:r w:rsidR="00F470ED" w:rsidRPr="008710EE">
        <w:rPr>
          <w:rFonts w:ascii="Calibri" w:hAnsi="Calibri" w:cs="Times New Roman"/>
        </w:rPr>
        <w:t>threatened).</w:t>
      </w:r>
    </w:p>
    <w:p w14:paraId="57BEE599" w14:textId="77777777" w:rsidR="00F470ED" w:rsidRDefault="00F470ED" w:rsidP="003416E5">
      <w:pPr>
        <w:widowControl w:val="0"/>
        <w:autoSpaceDE w:val="0"/>
        <w:autoSpaceDN w:val="0"/>
        <w:adjustRightInd w:val="0"/>
        <w:rPr>
          <w:rFonts w:ascii="Calibri" w:hAnsi="Calibri"/>
          <w:bCs/>
        </w:rPr>
      </w:pPr>
    </w:p>
    <w:p w14:paraId="517AF426" w14:textId="77777777" w:rsidR="003416E5" w:rsidRPr="008710EE" w:rsidRDefault="00AB3A61" w:rsidP="003416E5">
      <w:pPr>
        <w:widowControl w:val="0"/>
        <w:autoSpaceDE w:val="0"/>
        <w:autoSpaceDN w:val="0"/>
        <w:adjustRightInd w:val="0"/>
        <w:rPr>
          <w:rFonts w:ascii="Calibri" w:hAnsi="Calibri"/>
          <w:bCs/>
        </w:rPr>
      </w:pPr>
      <w:r>
        <w:rPr>
          <w:rFonts w:ascii="Calibri" w:hAnsi="Calibri"/>
          <w:bCs/>
        </w:rPr>
        <w:t xml:space="preserve">In contrast to Internet standard-setting processes, in which all participants need to achieve interoperability, the participants </w:t>
      </w:r>
      <w:r w:rsidR="00F470ED">
        <w:rPr>
          <w:rFonts w:ascii="Calibri" w:hAnsi="Calibri"/>
          <w:bCs/>
        </w:rPr>
        <w:t>in an env</w:t>
      </w:r>
      <w:r w:rsidR="00316F50">
        <w:rPr>
          <w:rFonts w:ascii="Calibri" w:hAnsi="Calibri"/>
          <w:bCs/>
        </w:rPr>
        <w:t xml:space="preserve">ironmental covenant often </w:t>
      </w:r>
      <w:r w:rsidR="00CE0E6D">
        <w:rPr>
          <w:rFonts w:ascii="Calibri" w:hAnsi="Calibri"/>
          <w:bCs/>
        </w:rPr>
        <w:t xml:space="preserve">come into the process with </w:t>
      </w:r>
      <w:r w:rsidR="00F470ED">
        <w:rPr>
          <w:rFonts w:ascii="Calibri" w:hAnsi="Calibri"/>
          <w:bCs/>
        </w:rPr>
        <w:t xml:space="preserve">opposing goals.  Industry wants to carry on its business activities and minimize the costs of pollution control.  Government and environmental advocates want </w:t>
      </w:r>
      <w:r w:rsidR="00CE0E6D">
        <w:rPr>
          <w:rFonts w:ascii="Calibri" w:hAnsi="Calibri"/>
          <w:bCs/>
        </w:rPr>
        <w:t xml:space="preserve">industry to reduce its </w:t>
      </w:r>
      <w:r w:rsidR="00F470ED">
        <w:rPr>
          <w:rFonts w:ascii="Calibri" w:hAnsi="Calibri"/>
          <w:bCs/>
        </w:rPr>
        <w:t>pollution.  The covenanting process forces these opposing groups to search for ways in which their seemingly incompa</w:t>
      </w:r>
      <w:r w:rsidR="00316F50">
        <w:rPr>
          <w:rFonts w:ascii="Calibri" w:hAnsi="Calibri"/>
          <w:bCs/>
        </w:rPr>
        <w:t xml:space="preserve">tible goals can be reconciled or even harmonized.  </w:t>
      </w:r>
      <w:r w:rsidR="003416E5">
        <w:rPr>
          <w:rFonts w:ascii="Calibri" w:hAnsi="Calibri"/>
          <w:bCs/>
        </w:rPr>
        <w:t xml:space="preserve">The MSH </w:t>
      </w:r>
      <w:r w:rsidR="004B619F">
        <w:rPr>
          <w:rFonts w:ascii="Calibri" w:hAnsi="Calibri"/>
          <w:bCs/>
        </w:rPr>
        <w:t xml:space="preserve">process </w:t>
      </w:r>
      <w:r w:rsidR="003416E5">
        <w:rPr>
          <w:rFonts w:ascii="Calibri" w:hAnsi="Calibri"/>
          <w:bCs/>
        </w:rPr>
        <w:t xml:space="preserve">that the Administration envisions </w:t>
      </w:r>
      <w:r w:rsidR="004B619F">
        <w:rPr>
          <w:rFonts w:ascii="Calibri" w:hAnsi="Calibri"/>
          <w:bCs/>
        </w:rPr>
        <w:t xml:space="preserve">is </w:t>
      </w:r>
      <w:r w:rsidR="00692110">
        <w:rPr>
          <w:rFonts w:ascii="Calibri" w:hAnsi="Calibri"/>
          <w:bCs/>
        </w:rPr>
        <w:t>very much like this.</w:t>
      </w:r>
      <w:r w:rsidR="00692110">
        <w:rPr>
          <w:rStyle w:val="FootnoteReference"/>
          <w:rFonts w:ascii="Calibri" w:hAnsi="Calibri"/>
          <w:bCs/>
        </w:rPr>
        <w:footnoteReference w:id="15"/>
      </w:r>
      <w:r w:rsidR="00692110">
        <w:rPr>
          <w:rFonts w:ascii="Calibri" w:hAnsi="Calibri"/>
          <w:bCs/>
        </w:rPr>
        <w:t xml:space="preserve">  </w:t>
      </w:r>
      <w:r w:rsidR="004B619F">
        <w:rPr>
          <w:rFonts w:ascii="Calibri" w:hAnsi="Calibri"/>
          <w:bCs/>
        </w:rPr>
        <w:t xml:space="preserve">It </w:t>
      </w:r>
      <w:r w:rsidR="0032739D">
        <w:rPr>
          <w:rFonts w:ascii="Calibri" w:hAnsi="Calibri"/>
          <w:bCs/>
        </w:rPr>
        <w:t xml:space="preserve">will require </w:t>
      </w:r>
      <w:r w:rsidR="00692110">
        <w:rPr>
          <w:rFonts w:ascii="Calibri" w:hAnsi="Calibri"/>
          <w:bCs/>
        </w:rPr>
        <w:t>businesses whose behavior can in</w:t>
      </w:r>
      <w:r w:rsidR="0032739D">
        <w:rPr>
          <w:rFonts w:ascii="Calibri" w:hAnsi="Calibri"/>
          <w:bCs/>
        </w:rPr>
        <w:t xml:space="preserve">jure </w:t>
      </w:r>
      <w:r w:rsidR="004B619F">
        <w:rPr>
          <w:rFonts w:ascii="Calibri" w:hAnsi="Calibri"/>
          <w:bCs/>
        </w:rPr>
        <w:t xml:space="preserve">consumer </w:t>
      </w:r>
      <w:r w:rsidR="0032739D">
        <w:rPr>
          <w:rFonts w:ascii="Calibri" w:hAnsi="Calibri"/>
          <w:bCs/>
        </w:rPr>
        <w:t xml:space="preserve">privacy to negotiate with </w:t>
      </w:r>
      <w:r w:rsidR="00692110">
        <w:rPr>
          <w:rFonts w:ascii="Calibri" w:hAnsi="Calibri"/>
          <w:bCs/>
        </w:rPr>
        <w:t xml:space="preserve">privacy advocates, state government representatives, and others who seek to </w:t>
      </w:r>
      <w:r w:rsidR="00F10227">
        <w:rPr>
          <w:rFonts w:ascii="Calibri" w:hAnsi="Calibri"/>
          <w:bCs/>
        </w:rPr>
        <w:t>protect consumer privacy</w:t>
      </w:r>
      <w:r w:rsidR="00692110">
        <w:rPr>
          <w:rFonts w:ascii="Calibri" w:hAnsi="Calibri"/>
          <w:bCs/>
        </w:rPr>
        <w:t xml:space="preserve">.  </w:t>
      </w:r>
      <w:r w:rsidR="004B619F">
        <w:rPr>
          <w:rFonts w:ascii="Calibri" w:hAnsi="Calibri"/>
          <w:bCs/>
        </w:rPr>
        <w:t xml:space="preserve">It </w:t>
      </w:r>
      <w:r w:rsidR="00692110">
        <w:rPr>
          <w:rFonts w:ascii="Calibri" w:hAnsi="Calibri"/>
          <w:bCs/>
        </w:rPr>
        <w:t>will seek to engage these apparently opposing groups in a search for a solution that will reconcile their different interests.</w:t>
      </w:r>
      <w:r w:rsidR="00FB79AE">
        <w:rPr>
          <w:rFonts w:ascii="Calibri" w:hAnsi="Calibri"/>
          <w:bCs/>
        </w:rPr>
        <w:t xml:space="preserve"> </w:t>
      </w:r>
      <w:r w:rsidR="00692110">
        <w:rPr>
          <w:rFonts w:ascii="Calibri" w:hAnsi="Calibri"/>
          <w:bCs/>
        </w:rPr>
        <w:t xml:space="preserve"> </w:t>
      </w:r>
      <w:r w:rsidR="00316F50">
        <w:rPr>
          <w:rFonts w:ascii="Calibri" w:hAnsi="Calibri"/>
          <w:bCs/>
        </w:rPr>
        <w:t>Negotiations of this type—in which seemingly opposed interests attempt to find a win-win solution--r</w:t>
      </w:r>
      <w:r w:rsidR="003416E5">
        <w:rPr>
          <w:rFonts w:ascii="Calibri" w:hAnsi="Calibri"/>
          <w:bCs/>
        </w:rPr>
        <w:t xml:space="preserve">aise </w:t>
      </w:r>
      <w:r w:rsidR="00316F50">
        <w:rPr>
          <w:rFonts w:ascii="Calibri" w:hAnsi="Calibri"/>
          <w:bCs/>
        </w:rPr>
        <w:t xml:space="preserve">very </w:t>
      </w:r>
      <w:r w:rsidR="003416E5">
        <w:rPr>
          <w:rFonts w:ascii="Calibri" w:hAnsi="Calibri"/>
          <w:bCs/>
        </w:rPr>
        <w:t xml:space="preserve">different </w:t>
      </w:r>
      <w:r w:rsidR="004B619F">
        <w:rPr>
          <w:rFonts w:ascii="Calibri" w:hAnsi="Calibri"/>
          <w:bCs/>
        </w:rPr>
        <w:t xml:space="preserve">concerns and </w:t>
      </w:r>
      <w:r w:rsidR="003416E5">
        <w:rPr>
          <w:rFonts w:ascii="Calibri" w:hAnsi="Calibri"/>
          <w:bCs/>
        </w:rPr>
        <w:t xml:space="preserve">design issues than those that seek to set interoperable standards.  We therefore believe it important that NTIA look to the example of environmental covenants </w:t>
      </w:r>
      <w:r w:rsidR="00692110">
        <w:rPr>
          <w:rFonts w:ascii="Calibri" w:hAnsi="Calibri"/>
          <w:bCs/>
        </w:rPr>
        <w:t xml:space="preserve">as </w:t>
      </w:r>
      <w:r w:rsidR="003416E5" w:rsidRPr="008710EE">
        <w:rPr>
          <w:rFonts w:ascii="Calibri" w:hAnsi="Calibri"/>
          <w:bCs/>
        </w:rPr>
        <w:t xml:space="preserve">an alternative basis for understanding not only </w:t>
      </w:r>
      <w:r w:rsidR="003416E5" w:rsidRPr="008710EE">
        <w:rPr>
          <w:rFonts w:ascii="Calibri" w:hAnsi="Calibri"/>
          <w:bCs/>
        </w:rPr>
        <w:lastRenderedPageBreak/>
        <w:t xml:space="preserve">the legitimacy of the </w:t>
      </w:r>
      <w:r w:rsidR="003416E5">
        <w:rPr>
          <w:rFonts w:ascii="Calibri" w:hAnsi="Calibri"/>
          <w:bCs/>
        </w:rPr>
        <w:t>MSH</w:t>
      </w:r>
      <w:r w:rsidR="003416E5" w:rsidRPr="008710EE">
        <w:rPr>
          <w:rFonts w:ascii="Calibri" w:hAnsi="Calibri"/>
          <w:bCs/>
        </w:rPr>
        <w:t xml:space="preserve"> process</w:t>
      </w:r>
      <w:r w:rsidR="003416E5">
        <w:rPr>
          <w:rFonts w:ascii="Calibri" w:hAnsi="Calibri"/>
          <w:bCs/>
        </w:rPr>
        <w:t>,</w:t>
      </w:r>
      <w:r w:rsidR="003416E5" w:rsidRPr="008710EE">
        <w:rPr>
          <w:rFonts w:ascii="Calibri" w:hAnsi="Calibri"/>
          <w:bCs/>
        </w:rPr>
        <w:t xml:space="preserve"> but </w:t>
      </w:r>
      <w:r w:rsidR="003416E5">
        <w:rPr>
          <w:rFonts w:ascii="Calibri" w:hAnsi="Calibri"/>
          <w:bCs/>
        </w:rPr>
        <w:t xml:space="preserve">also </w:t>
      </w:r>
      <w:r w:rsidR="003416E5" w:rsidRPr="008710EE">
        <w:rPr>
          <w:rFonts w:ascii="Calibri" w:hAnsi="Calibri"/>
          <w:bCs/>
        </w:rPr>
        <w:t xml:space="preserve">how best to organize it to ensure a successful outcome. </w:t>
      </w:r>
    </w:p>
    <w:p w14:paraId="74F54046" w14:textId="77777777" w:rsidR="003416E5" w:rsidRPr="008710EE" w:rsidRDefault="003416E5" w:rsidP="003416E5">
      <w:pPr>
        <w:widowControl w:val="0"/>
        <w:autoSpaceDE w:val="0"/>
        <w:autoSpaceDN w:val="0"/>
        <w:adjustRightInd w:val="0"/>
        <w:rPr>
          <w:rFonts w:ascii="Calibri" w:hAnsi="Calibri"/>
          <w:bCs/>
        </w:rPr>
      </w:pPr>
    </w:p>
    <w:p w14:paraId="7FAFC1E6" w14:textId="77777777" w:rsidR="003416E5" w:rsidRPr="008710EE" w:rsidRDefault="003416E5" w:rsidP="003416E5">
      <w:pPr>
        <w:widowControl w:val="0"/>
        <w:autoSpaceDE w:val="0"/>
        <w:autoSpaceDN w:val="0"/>
        <w:adjustRightInd w:val="0"/>
        <w:rPr>
          <w:rFonts w:ascii="Calibri" w:hAnsi="Calibri" w:cs="Times New Roman"/>
        </w:rPr>
      </w:pPr>
      <w:r w:rsidRPr="008710EE">
        <w:rPr>
          <w:rFonts w:ascii="Calibri" w:hAnsi="Calibri" w:cs="Times New Roman"/>
        </w:rPr>
        <w:t xml:space="preserve">Environmental covenants </w:t>
      </w:r>
      <w:r>
        <w:rPr>
          <w:rFonts w:ascii="Calibri" w:hAnsi="Calibri" w:cs="Times New Roman"/>
        </w:rPr>
        <w:t xml:space="preserve">are primarily employed in Europe and Japan where governments and industry sectors have negotiated many </w:t>
      </w:r>
      <w:r w:rsidR="007C6322">
        <w:rPr>
          <w:rFonts w:ascii="Calibri" w:hAnsi="Calibri" w:cs="Times New Roman"/>
        </w:rPr>
        <w:t xml:space="preserve">such </w:t>
      </w:r>
      <w:r>
        <w:rPr>
          <w:rFonts w:ascii="Calibri" w:hAnsi="Calibri" w:cs="Times New Roman"/>
        </w:rPr>
        <w:t>“voluntary environmental agreements.”</w:t>
      </w:r>
      <w:r>
        <w:rPr>
          <w:rStyle w:val="FootnoteReference"/>
          <w:rFonts w:ascii="Calibri" w:hAnsi="Calibri" w:cs="Times New Roman"/>
        </w:rPr>
        <w:footnoteReference w:id="16"/>
      </w:r>
      <w:r>
        <w:rPr>
          <w:rFonts w:ascii="Calibri" w:hAnsi="Calibri" w:cs="Times New Roman"/>
        </w:rPr>
        <w:t xml:space="preserve">  L</w:t>
      </w:r>
      <w:r w:rsidRPr="008710EE">
        <w:rPr>
          <w:rFonts w:ascii="Calibri" w:hAnsi="Calibri" w:cs="Times New Roman"/>
        </w:rPr>
        <w:t>egal scholars have sought to explain why this approach sometimes achieves better solutions to environmental problems than traditional command-and-control regulations.</w:t>
      </w:r>
      <w:r w:rsidR="00FB79AE">
        <w:rPr>
          <w:rFonts w:ascii="Calibri" w:hAnsi="Calibri" w:cs="Times New Roman"/>
        </w:rPr>
        <w:t xml:space="preserve"> </w:t>
      </w:r>
      <w:r w:rsidRPr="008710EE">
        <w:rPr>
          <w:rFonts w:ascii="Calibri" w:hAnsi="Calibri" w:cs="Times New Roman"/>
        </w:rPr>
        <w:t xml:space="preserve"> Prof</w:t>
      </w:r>
      <w:r>
        <w:rPr>
          <w:rFonts w:ascii="Calibri" w:hAnsi="Calibri" w:cs="Times New Roman"/>
        </w:rPr>
        <w:t>essor</w:t>
      </w:r>
      <w:r w:rsidRPr="008710EE">
        <w:rPr>
          <w:rFonts w:ascii="Calibri" w:hAnsi="Calibri" w:cs="Times New Roman"/>
        </w:rPr>
        <w:t xml:space="preserve"> Richard Stewart offers an explanation based on the logic of </w:t>
      </w:r>
      <w:proofErr w:type="spellStart"/>
      <w:r w:rsidRPr="008710EE">
        <w:rPr>
          <w:rFonts w:ascii="Calibri" w:hAnsi="Calibri" w:cs="Times New Roman"/>
        </w:rPr>
        <w:t>Coasian</w:t>
      </w:r>
      <w:proofErr w:type="spellEnd"/>
      <w:r w:rsidRPr="008710EE">
        <w:rPr>
          <w:rFonts w:ascii="Calibri" w:hAnsi="Calibri" w:cs="Times New Roman"/>
        </w:rPr>
        <w:t xml:space="preserve"> bargaining principles:</w:t>
      </w:r>
      <w:r w:rsidRPr="008710EE">
        <w:rPr>
          <w:rStyle w:val="FootnoteReference"/>
          <w:rFonts w:ascii="Calibri" w:hAnsi="Calibri" w:cs="Times New Roman"/>
        </w:rPr>
        <w:footnoteReference w:id="17"/>
      </w:r>
    </w:p>
    <w:p w14:paraId="14AE9A28" w14:textId="77777777" w:rsidR="003416E5" w:rsidRPr="008710EE" w:rsidRDefault="003416E5" w:rsidP="003416E5">
      <w:pPr>
        <w:widowControl w:val="0"/>
        <w:autoSpaceDE w:val="0"/>
        <w:autoSpaceDN w:val="0"/>
        <w:adjustRightInd w:val="0"/>
        <w:rPr>
          <w:rFonts w:ascii="Calibri" w:hAnsi="Calibri" w:cs="Times New Roman"/>
        </w:rPr>
      </w:pPr>
    </w:p>
    <w:p w14:paraId="095C9EEA" w14:textId="77777777" w:rsidR="003416E5" w:rsidRDefault="003416E5" w:rsidP="003416E5">
      <w:pPr>
        <w:widowControl w:val="0"/>
        <w:autoSpaceDE w:val="0"/>
        <w:autoSpaceDN w:val="0"/>
        <w:adjustRightInd w:val="0"/>
        <w:ind w:left="720"/>
        <w:rPr>
          <w:rFonts w:ascii="Calibri" w:hAnsi="Calibri" w:cs="Times New Roman"/>
        </w:rPr>
      </w:pPr>
      <w:r w:rsidRPr="008710EE">
        <w:rPr>
          <w:rFonts w:ascii="Calibri" w:hAnsi="Calibri" w:cs="Times New Roman"/>
        </w:rPr>
        <w:t>The premise is that legal rules will advance society’s welfare if they are voluntarily agreed to by all relevant interests. If those with a stake in the regulatory requirements—the regulated, the regulator, and perhaps third party environmental or citizen interests—agree on an alternative to the standard requirements, the agreement may be presumed to be superior to the standard.</w:t>
      </w:r>
      <w:r w:rsidRPr="008710EE">
        <w:rPr>
          <w:rStyle w:val="FootnoteReference"/>
          <w:rFonts w:ascii="Calibri" w:hAnsi="Calibri" w:cs="Times New Roman"/>
        </w:rPr>
        <w:footnoteReference w:id="18"/>
      </w:r>
    </w:p>
    <w:p w14:paraId="41493B31" w14:textId="77777777" w:rsidR="003416E5" w:rsidRPr="008710EE" w:rsidRDefault="003416E5" w:rsidP="003416E5">
      <w:pPr>
        <w:widowControl w:val="0"/>
        <w:autoSpaceDE w:val="0"/>
        <w:autoSpaceDN w:val="0"/>
        <w:adjustRightInd w:val="0"/>
        <w:ind w:left="720"/>
        <w:rPr>
          <w:rFonts w:ascii="Calibri" w:hAnsi="Calibri" w:cs="Times New Roman"/>
        </w:rPr>
      </w:pPr>
    </w:p>
    <w:p w14:paraId="3170ABE1" w14:textId="77777777" w:rsidR="003416E5" w:rsidRPr="008710EE" w:rsidRDefault="003416E5" w:rsidP="003416E5">
      <w:pPr>
        <w:widowControl w:val="0"/>
        <w:autoSpaceDE w:val="0"/>
        <w:autoSpaceDN w:val="0"/>
        <w:adjustRightInd w:val="0"/>
        <w:rPr>
          <w:rFonts w:ascii="Calibri" w:hAnsi="Calibri" w:cs="Times New Roman"/>
        </w:rPr>
      </w:pPr>
      <w:r w:rsidRPr="008710EE">
        <w:rPr>
          <w:rFonts w:ascii="Calibri" w:hAnsi="Calibri" w:cs="Times New Roman"/>
        </w:rPr>
        <w:t xml:space="preserve">The </w:t>
      </w:r>
      <w:r w:rsidR="00AF4659">
        <w:rPr>
          <w:rFonts w:ascii="Calibri" w:hAnsi="Calibri" w:cs="Times New Roman"/>
        </w:rPr>
        <w:t>multistakeholder</w:t>
      </w:r>
      <w:r w:rsidRPr="008710EE">
        <w:rPr>
          <w:rFonts w:ascii="Calibri" w:hAnsi="Calibri" w:cs="Times New Roman"/>
        </w:rPr>
        <w:t xml:space="preserve"> process as envisioned by the Administration has something to learn from Prof. Stewart’s explanation, namely, that the legitimacy of a bargaining process turns not only on transparency and openness but on information sharing and negotiation that allows diverse parties to reach a voluntary agreement on a solution that leaves each of them better off.    </w:t>
      </w:r>
    </w:p>
    <w:p w14:paraId="4A7EB1DA" w14:textId="77777777" w:rsidR="003416E5" w:rsidRPr="008710EE" w:rsidRDefault="003416E5" w:rsidP="003416E5">
      <w:pPr>
        <w:widowControl w:val="0"/>
        <w:autoSpaceDE w:val="0"/>
        <w:autoSpaceDN w:val="0"/>
        <w:adjustRightInd w:val="0"/>
        <w:rPr>
          <w:rFonts w:ascii="Calibri" w:hAnsi="Calibri" w:cs="Times New Roman"/>
        </w:rPr>
      </w:pPr>
    </w:p>
    <w:p w14:paraId="7979CD3C" w14:textId="77777777" w:rsidR="003416E5" w:rsidRDefault="003416E5" w:rsidP="003416E5">
      <w:pPr>
        <w:widowControl w:val="0"/>
        <w:autoSpaceDE w:val="0"/>
        <w:autoSpaceDN w:val="0"/>
        <w:adjustRightInd w:val="0"/>
        <w:rPr>
          <w:rFonts w:ascii="Calibri" w:hAnsi="Calibri" w:cs="Times New Roman"/>
        </w:rPr>
      </w:pPr>
      <w:r>
        <w:rPr>
          <w:rFonts w:ascii="Calibri" w:hAnsi="Calibri" w:cs="Times New Roman"/>
        </w:rPr>
        <w:lastRenderedPageBreak/>
        <w:t xml:space="preserve">In the United States, the EPA has employed two regulatory approaches that resemble environmental covenants.  These are negotiated rulemaking (reg-neg) and </w:t>
      </w:r>
      <w:r w:rsidR="00D32D5C">
        <w:rPr>
          <w:rFonts w:ascii="Calibri" w:hAnsi="Calibri" w:cs="Times New Roman"/>
        </w:rPr>
        <w:t xml:space="preserve">the </w:t>
      </w:r>
      <w:r>
        <w:rPr>
          <w:rFonts w:ascii="Calibri" w:hAnsi="Calibri" w:cs="Times New Roman"/>
        </w:rPr>
        <w:t xml:space="preserve">Common Sense Initiative.  Each of these experiences holds lessons for the Administration’s proposed MSH codes.  </w:t>
      </w:r>
    </w:p>
    <w:p w14:paraId="50C37D38" w14:textId="77777777" w:rsidR="003416E5" w:rsidRDefault="003416E5" w:rsidP="003416E5">
      <w:pPr>
        <w:widowControl w:val="0"/>
        <w:autoSpaceDE w:val="0"/>
        <w:autoSpaceDN w:val="0"/>
        <w:adjustRightInd w:val="0"/>
        <w:rPr>
          <w:rFonts w:ascii="Calibri" w:hAnsi="Calibri" w:cs="Times New Roman"/>
        </w:rPr>
      </w:pPr>
    </w:p>
    <w:p w14:paraId="76A7A216" w14:textId="77777777" w:rsidR="003416E5" w:rsidRDefault="003416E5" w:rsidP="003416E5">
      <w:pPr>
        <w:pStyle w:val="ListParagraph"/>
        <w:widowControl w:val="0"/>
        <w:numPr>
          <w:ilvl w:val="0"/>
          <w:numId w:val="12"/>
        </w:numPr>
        <w:autoSpaceDE w:val="0"/>
        <w:autoSpaceDN w:val="0"/>
        <w:adjustRightInd w:val="0"/>
        <w:rPr>
          <w:rFonts w:ascii="Calibri" w:hAnsi="Calibri" w:cs="Times New Roman"/>
        </w:rPr>
      </w:pPr>
      <w:r>
        <w:rPr>
          <w:rFonts w:ascii="Calibri" w:hAnsi="Calibri" w:cs="Times New Roman"/>
        </w:rPr>
        <w:t xml:space="preserve"> Negotiated Rulemaking</w:t>
      </w:r>
    </w:p>
    <w:p w14:paraId="1802108B" w14:textId="77777777" w:rsidR="003416E5" w:rsidRDefault="003416E5" w:rsidP="003416E5">
      <w:pPr>
        <w:widowControl w:val="0"/>
        <w:autoSpaceDE w:val="0"/>
        <w:autoSpaceDN w:val="0"/>
        <w:adjustRightInd w:val="0"/>
        <w:rPr>
          <w:rFonts w:ascii="Calibri" w:hAnsi="Calibri" w:cs="Times New Roman"/>
        </w:rPr>
      </w:pPr>
    </w:p>
    <w:p w14:paraId="2241635D" w14:textId="77777777" w:rsidR="003416E5" w:rsidRDefault="003416E5" w:rsidP="003416E5">
      <w:pPr>
        <w:widowControl w:val="0"/>
        <w:autoSpaceDE w:val="0"/>
        <w:autoSpaceDN w:val="0"/>
        <w:adjustRightInd w:val="0"/>
        <w:rPr>
          <w:rFonts w:ascii="Calibri" w:hAnsi="Calibri" w:cs="Times New Roman"/>
        </w:rPr>
      </w:pPr>
      <w:r>
        <w:rPr>
          <w:rFonts w:ascii="Calibri" w:hAnsi="Calibri" w:cs="Times New Roman"/>
        </w:rPr>
        <w:t>Negotiated rulemaking is a process through which a federal agency and stakeholder representatives come together to negotiate the text of a rule.</w:t>
      </w:r>
      <w:r>
        <w:rPr>
          <w:rStyle w:val="FootnoteReference"/>
          <w:rFonts w:ascii="Calibri" w:hAnsi="Calibri" w:cs="Times New Roman"/>
        </w:rPr>
        <w:footnoteReference w:id="19"/>
      </w:r>
      <w:r>
        <w:rPr>
          <w:rFonts w:ascii="Calibri" w:hAnsi="Calibri" w:cs="Times New Roman"/>
        </w:rPr>
        <w:t xml:space="preserve">  If the group reaches consensus, then the agency uses the agreement as the basis for a proposed rule.  Those who favor this approach criticize traditional, notice-and-comment rulemaking for being an adversarial approach that discourages information sharing and creative problem solving and often results in litigation.  They believe that negotiated rulemaking can bring the parties together to generate innovative solutions that are substantively better, more legitimate, and less likely to generate legal challenges.</w:t>
      </w:r>
      <w:r>
        <w:rPr>
          <w:rStyle w:val="FootnoteReference"/>
          <w:rFonts w:ascii="Calibri" w:hAnsi="Calibri" w:cs="Times New Roman"/>
        </w:rPr>
        <w:footnoteReference w:id="20"/>
      </w:r>
      <w:r>
        <w:rPr>
          <w:rFonts w:ascii="Calibri" w:hAnsi="Calibri" w:cs="Times New Roman"/>
        </w:rPr>
        <w:t xml:space="preserve">  EPA uses reg-neg more than any other agency.</w:t>
      </w:r>
    </w:p>
    <w:p w14:paraId="418DA979" w14:textId="77777777" w:rsidR="003416E5" w:rsidRDefault="003416E5" w:rsidP="003416E5">
      <w:pPr>
        <w:widowControl w:val="0"/>
        <w:autoSpaceDE w:val="0"/>
        <w:autoSpaceDN w:val="0"/>
        <w:adjustRightInd w:val="0"/>
        <w:rPr>
          <w:rFonts w:ascii="Calibri" w:hAnsi="Calibri" w:cs="Times New Roman"/>
        </w:rPr>
      </w:pPr>
    </w:p>
    <w:p w14:paraId="72AB53C1" w14:textId="77777777" w:rsidR="003416E5" w:rsidRDefault="003416E5" w:rsidP="003416E5">
      <w:pPr>
        <w:widowControl w:val="0"/>
        <w:autoSpaceDE w:val="0"/>
        <w:autoSpaceDN w:val="0"/>
        <w:adjustRightInd w:val="0"/>
        <w:rPr>
          <w:rFonts w:ascii="Calibri" w:hAnsi="Calibri" w:cs="Times New Roman"/>
        </w:rPr>
      </w:pPr>
      <w:r>
        <w:rPr>
          <w:rFonts w:ascii="Calibri" w:hAnsi="Calibri" w:cs="Times New Roman"/>
        </w:rPr>
        <w:t>The negotiated rulemaking experience holds many potential lessons for the Administration’s MSH proposal.</w:t>
      </w:r>
      <w:r>
        <w:rPr>
          <w:rStyle w:val="FootnoteReference"/>
          <w:rFonts w:ascii="Calibri" w:hAnsi="Calibri" w:cs="Times New Roman"/>
        </w:rPr>
        <w:footnoteReference w:id="21"/>
      </w:r>
      <w:r>
        <w:rPr>
          <w:rFonts w:ascii="Calibri" w:hAnsi="Calibri" w:cs="Times New Roman"/>
        </w:rPr>
        <w:t xml:space="preserve">  For the purposes of these comments, we will focus on one </w:t>
      </w:r>
      <w:r w:rsidR="00777683">
        <w:rPr>
          <w:rFonts w:ascii="Calibri" w:hAnsi="Calibri" w:cs="Times New Roman"/>
        </w:rPr>
        <w:t>of these</w:t>
      </w:r>
      <w:r>
        <w:rPr>
          <w:rFonts w:ascii="Calibri" w:hAnsi="Calibri" w:cs="Times New Roman"/>
        </w:rPr>
        <w:t>: what the negotiated rulemaking experience can tell us about how to choose the subject matter for an MSH process.  The Administration has specifically asked for comment on this issue.</w:t>
      </w:r>
      <w:r>
        <w:rPr>
          <w:rStyle w:val="FootnoteReference"/>
          <w:rFonts w:ascii="Calibri" w:hAnsi="Calibri" w:cs="Times New Roman"/>
        </w:rPr>
        <w:footnoteReference w:id="22"/>
      </w:r>
      <w:r>
        <w:rPr>
          <w:rFonts w:ascii="Calibri" w:hAnsi="Calibri" w:cs="Times New Roman"/>
        </w:rPr>
        <w:t xml:space="preserve">  Those who have studied reg-neg have thought extensively about it and their insights are relevant here.</w:t>
      </w:r>
    </w:p>
    <w:p w14:paraId="31B91A49" w14:textId="77777777" w:rsidR="003416E5" w:rsidRDefault="003416E5" w:rsidP="003416E5">
      <w:pPr>
        <w:widowControl w:val="0"/>
        <w:autoSpaceDE w:val="0"/>
        <w:autoSpaceDN w:val="0"/>
        <w:adjustRightInd w:val="0"/>
        <w:rPr>
          <w:rFonts w:ascii="Calibri" w:hAnsi="Calibri" w:cs="Times New Roman"/>
        </w:rPr>
      </w:pPr>
    </w:p>
    <w:p w14:paraId="25323013" w14:textId="77777777" w:rsidR="003416E5" w:rsidRDefault="003416E5" w:rsidP="003416E5">
      <w:pPr>
        <w:widowControl w:val="0"/>
        <w:autoSpaceDE w:val="0"/>
        <w:autoSpaceDN w:val="0"/>
        <w:adjustRightInd w:val="0"/>
        <w:rPr>
          <w:rFonts w:ascii="Calibri" w:hAnsi="Calibri" w:cs="Times New Roman"/>
        </w:rPr>
      </w:pPr>
      <w:r>
        <w:rPr>
          <w:rFonts w:ascii="Calibri" w:hAnsi="Calibri" w:cs="Times New Roman"/>
        </w:rPr>
        <w:t>In a foundational 1982 article, Professor Philip Harter identified the conditions that improve the likelihood that a negotiated rulemaking will result in a successful agreement.</w:t>
      </w:r>
      <w:r>
        <w:rPr>
          <w:rStyle w:val="FootnoteReference"/>
          <w:rFonts w:ascii="Calibri" w:hAnsi="Calibri" w:cs="Times New Roman"/>
        </w:rPr>
        <w:footnoteReference w:id="23"/>
      </w:r>
      <w:r>
        <w:rPr>
          <w:rFonts w:ascii="Calibri" w:hAnsi="Calibri" w:cs="Times New Roman"/>
        </w:rPr>
        <w:t xml:space="preserve">  These conditions are also relevant to the potential success of other MSH </w:t>
      </w:r>
      <w:r>
        <w:rPr>
          <w:rFonts w:ascii="Calibri" w:hAnsi="Calibri" w:cs="Times New Roman"/>
        </w:rPr>
        <w:lastRenderedPageBreak/>
        <w:t>processes.  In deciding on the subject matter for the initial MSH code or codes, the Administration should examine the extent to which each subject matter area satisfies Harter’s conditions for a successful MSH negotiation.  Harter’s conditions include:</w:t>
      </w:r>
      <w:r>
        <w:rPr>
          <w:rStyle w:val="FootnoteReference"/>
          <w:rFonts w:ascii="Calibri" w:hAnsi="Calibri" w:cs="Times New Roman"/>
        </w:rPr>
        <w:footnoteReference w:id="24"/>
      </w:r>
      <w:r>
        <w:rPr>
          <w:rFonts w:ascii="Calibri" w:hAnsi="Calibri" w:cs="Times New Roman"/>
        </w:rPr>
        <w:t xml:space="preserve"> </w:t>
      </w:r>
    </w:p>
    <w:p w14:paraId="116AFC4E" w14:textId="77777777" w:rsidR="003416E5" w:rsidRDefault="003416E5" w:rsidP="003416E5">
      <w:pPr>
        <w:widowControl w:val="0"/>
        <w:autoSpaceDE w:val="0"/>
        <w:autoSpaceDN w:val="0"/>
        <w:adjustRightInd w:val="0"/>
        <w:rPr>
          <w:rFonts w:ascii="Calibri" w:hAnsi="Calibri" w:cs="Times New Roman"/>
        </w:rPr>
      </w:pPr>
    </w:p>
    <w:p w14:paraId="505E070A" w14:textId="77777777" w:rsidR="003416E5" w:rsidRDefault="003416E5" w:rsidP="003416E5">
      <w:pPr>
        <w:pStyle w:val="ListParagraph"/>
        <w:widowControl w:val="0"/>
        <w:numPr>
          <w:ilvl w:val="0"/>
          <w:numId w:val="11"/>
        </w:numPr>
        <w:autoSpaceDE w:val="0"/>
        <w:autoSpaceDN w:val="0"/>
        <w:adjustRightInd w:val="0"/>
        <w:rPr>
          <w:rFonts w:ascii="Calibri" w:hAnsi="Calibri" w:cs="Times New Roman"/>
        </w:rPr>
      </w:pPr>
      <w:r>
        <w:rPr>
          <w:rFonts w:ascii="Calibri" w:hAnsi="Calibri" w:cs="Times New Roman"/>
        </w:rPr>
        <w:t>Countervailing Power: No single party can dictate the results.  There is a balance of power among the parties.</w:t>
      </w:r>
    </w:p>
    <w:p w14:paraId="4240E825" w14:textId="77777777" w:rsidR="003416E5" w:rsidRDefault="003416E5" w:rsidP="003416E5">
      <w:pPr>
        <w:widowControl w:val="0"/>
        <w:autoSpaceDE w:val="0"/>
        <w:autoSpaceDN w:val="0"/>
        <w:adjustRightInd w:val="0"/>
        <w:ind w:left="400"/>
        <w:rPr>
          <w:rFonts w:ascii="Calibri" w:hAnsi="Calibri" w:cs="Times New Roman"/>
        </w:rPr>
      </w:pPr>
    </w:p>
    <w:p w14:paraId="4F16A14B" w14:textId="77777777" w:rsidR="003416E5" w:rsidRDefault="003416E5" w:rsidP="003416E5">
      <w:pPr>
        <w:pStyle w:val="ListParagraph"/>
        <w:widowControl w:val="0"/>
        <w:numPr>
          <w:ilvl w:val="0"/>
          <w:numId w:val="11"/>
        </w:numPr>
        <w:autoSpaceDE w:val="0"/>
        <w:autoSpaceDN w:val="0"/>
        <w:adjustRightInd w:val="0"/>
        <w:rPr>
          <w:rFonts w:ascii="Calibri" w:hAnsi="Calibri" w:cs="Times New Roman"/>
        </w:rPr>
      </w:pPr>
      <w:r w:rsidRPr="00732DD9">
        <w:rPr>
          <w:rFonts w:ascii="Calibri" w:hAnsi="Calibri" w:cs="Times New Roman"/>
        </w:rPr>
        <w:t xml:space="preserve">Limited number of parties: </w:t>
      </w:r>
      <w:r>
        <w:rPr>
          <w:rFonts w:ascii="Calibri" w:hAnsi="Calibri" w:cs="Times New Roman"/>
        </w:rPr>
        <w:t xml:space="preserve"> A smaller number of parties, probably no greater than fifteen, </w:t>
      </w:r>
      <w:proofErr w:type="gramStart"/>
      <w:r>
        <w:rPr>
          <w:rFonts w:ascii="Calibri" w:hAnsi="Calibri" w:cs="Times New Roman"/>
        </w:rPr>
        <w:t>makes</w:t>
      </w:r>
      <w:proofErr w:type="gramEnd"/>
      <w:r>
        <w:rPr>
          <w:rFonts w:ascii="Calibri" w:hAnsi="Calibri" w:cs="Times New Roman"/>
        </w:rPr>
        <w:t xml:space="preserve"> </w:t>
      </w:r>
      <w:r w:rsidR="00AE18A7">
        <w:rPr>
          <w:rFonts w:ascii="Calibri" w:hAnsi="Calibri" w:cs="Times New Roman"/>
        </w:rPr>
        <w:t xml:space="preserve">possible </w:t>
      </w:r>
      <w:r>
        <w:rPr>
          <w:rFonts w:ascii="Calibri" w:hAnsi="Calibri" w:cs="Times New Roman"/>
        </w:rPr>
        <w:t>a true give-and-</w:t>
      </w:r>
      <w:r w:rsidRPr="00732DD9">
        <w:rPr>
          <w:rFonts w:ascii="Calibri" w:hAnsi="Calibri" w:cs="Times New Roman"/>
        </w:rPr>
        <w:t>take</w:t>
      </w:r>
      <w:r>
        <w:rPr>
          <w:rFonts w:ascii="Calibri" w:hAnsi="Calibri" w:cs="Times New Roman"/>
        </w:rPr>
        <w:t>.  T</w:t>
      </w:r>
      <w:r w:rsidRPr="00732DD9">
        <w:rPr>
          <w:rFonts w:ascii="Calibri" w:hAnsi="Calibri" w:cs="Times New Roman"/>
        </w:rPr>
        <w:t>he sector must be sufficiently organized that a few individuals</w:t>
      </w:r>
      <w:r>
        <w:rPr>
          <w:rFonts w:ascii="Calibri" w:hAnsi="Calibri" w:cs="Times New Roman"/>
        </w:rPr>
        <w:t xml:space="preserve"> can represent it</w:t>
      </w:r>
      <w:r w:rsidRPr="00732DD9">
        <w:rPr>
          <w:rFonts w:ascii="Calibri" w:hAnsi="Calibri" w:cs="Times New Roman"/>
        </w:rPr>
        <w:t>.</w:t>
      </w:r>
    </w:p>
    <w:p w14:paraId="32368985" w14:textId="77777777" w:rsidR="003416E5" w:rsidRDefault="003416E5" w:rsidP="003416E5">
      <w:pPr>
        <w:pStyle w:val="ListParagraph"/>
        <w:rPr>
          <w:rFonts w:ascii="Calibri" w:hAnsi="Calibri" w:cs="Times New Roman"/>
        </w:rPr>
      </w:pPr>
    </w:p>
    <w:p w14:paraId="714693E5" w14:textId="77777777" w:rsidR="003416E5" w:rsidRDefault="003416E5" w:rsidP="003416E5">
      <w:pPr>
        <w:pStyle w:val="ListParagraph"/>
        <w:widowControl w:val="0"/>
        <w:numPr>
          <w:ilvl w:val="0"/>
          <w:numId w:val="11"/>
        </w:numPr>
        <w:autoSpaceDE w:val="0"/>
        <w:autoSpaceDN w:val="0"/>
        <w:adjustRightInd w:val="0"/>
        <w:rPr>
          <w:rFonts w:ascii="Calibri" w:hAnsi="Calibri" w:cs="Times New Roman"/>
        </w:rPr>
      </w:pPr>
      <w:r w:rsidRPr="00732DD9">
        <w:rPr>
          <w:rFonts w:ascii="Calibri" w:hAnsi="Calibri" w:cs="Times New Roman"/>
        </w:rPr>
        <w:t xml:space="preserve">Mature issues: </w:t>
      </w:r>
      <w:r>
        <w:rPr>
          <w:rFonts w:ascii="Calibri" w:hAnsi="Calibri" w:cs="Times New Roman"/>
        </w:rPr>
        <w:t xml:space="preserve">The issues should be well-developed and “ripe” for decision. </w:t>
      </w:r>
      <w:r w:rsidRPr="00732DD9">
        <w:rPr>
          <w:rFonts w:ascii="Calibri" w:hAnsi="Calibri" w:cs="Times New Roman"/>
        </w:rPr>
        <w:t xml:space="preserve"> </w:t>
      </w:r>
    </w:p>
    <w:p w14:paraId="3BA4BD90" w14:textId="77777777" w:rsidR="003416E5" w:rsidRDefault="003416E5" w:rsidP="003416E5">
      <w:pPr>
        <w:pStyle w:val="ListParagraph"/>
        <w:rPr>
          <w:rFonts w:ascii="Calibri" w:hAnsi="Calibri" w:cs="Times New Roman"/>
        </w:rPr>
      </w:pPr>
    </w:p>
    <w:p w14:paraId="3A092371" w14:textId="77777777" w:rsidR="003416E5" w:rsidRDefault="003416E5" w:rsidP="003416E5">
      <w:pPr>
        <w:pStyle w:val="ListParagraph"/>
        <w:widowControl w:val="0"/>
        <w:numPr>
          <w:ilvl w:val="0"/>
          <w:numId w:val="11"/>
        </w:numPr>
        <w:autoSpaceDE w:val="0"/>
        <w:autoSpaceDN w:val="0"/>
        <w:adjustRightInd w:val="0"/>
        <w:rPr>
          <w:rFonts w:ascii="Calibri" w:hAnsi="Calibri" w:cs="Times New Roman"/>
        </w:rPr>
      </w:pPr>
      <w:r w:rsidRPr="00732DD9">
        <w:rPr>
          <w:rFonts w:ascii="Calibri" w:hAnsi="Calibri" w:cs="Times New Roman"/>
        </w:rPr>
        <w:t xml:space="preserve">Opportunity for gain: </w:t>
      </w:r>
      <w:r>
        <w:rPr>
          <w:rFonts w:ascii="Calibri" w:hAnsi="Calibri" w:cs="Times New Roman"/>
        </w:rPr>
        <w:t xml:space="preserve">Each party must believe it can win through negotiation.  </w:t>
      </w:r>
      <w:r w:rsidRPr="00732DD9">
        <w:rPr>
          <w:rFonts w:ascii="Calibri" w:hAnsi="Calibri" w:cs="Times New Roman"/>
        </w:rPr>
        <w:t xml:space="preserve">There must be the potential for a win-win solution.  </w:t>
      </w:r>
    </w:p>
    <w:p w14:paraId="0BA16FA2" w14:textId="77777777" w:rsidR="003416E5" w:rsidRDefault="003416E5" w:rsidP="003416E5">
      <w:pPr>
        <w:pStyle w:val="ListParagraph"/>
        <w:rPr>
          <w:rFonts w:ascii="Calibri" w:hAnsi="Calibri" w:cs="Times New Roman"/>
        </w:rPr>
      </w:pPr>
    </w:p>
    <w:p w14:paraId="4B445B90" w14:textId="77777777" w:rsidR="003416E5" w:rsidRDefault="003416E5" w:rsidP="003416E5">
      <w:pPr>
        <w:pStyle w:val="ListParagraph"/>
        <w:widowControl w:val="0"/>
        <w:numPr>
          <w:ilvl w:val="0"/>
          <w:numId w:val="11"/>
        </w:numPr>
        <w:autoSpaceDE w:val="0"/>
        <w:autoSpaceDN w:val="0"/>
        <w:adjustRightInd w:val="0"/>
        <w:rPr>
          <w:rFonts w:ascii="Calibri" w:hAnsi="Calibri" w:cs="Times New Roman"/>
        </w:rPr>
      </w:pPr>
      <w:r w:rsidRPr="00732DD9">
        <w:rPr>
          <w:rFonts w:ascii="Calibri" w:hAnsi="Calibri" w:cs="Times New Roman"/>
        </w:rPr>
        <w:t xml:space="preserve">Fundamental values: Parties will not compromise on their fundamental values.  </w:t>
      </w:r>
      <w:r>
        <w:rPr>
          <w:rFonts w:ascii="Calibri" w:hAnsi="Calibri" w:cs="Times New Roman"/>
        </w:rPr>
        <w:t>Issues should not involve fundamental value choices.</w:t>
      </w:r>
    </w:p>
    <w:p w14:paraId="1879889E" w14:textId="77777777" w:rsidR="003416E5" w:rsidRDefault="003416E5" w:rsidP="003416E5">
      <w:pPr>
        <w:pStyle w:val="ListParagraph"/>
        <w:rPr>
          <w:rFonts w:ascii="Calibri" w:hAnsi="Calibri" w:cs="Times New Roman"/>
        </w:rPr>
      </w:pPr>
    </w:p>
    <w:p w14:paraId="097ADF0E" w14:textId="77777777" w:rsidR="003416E5" w:rsidRDefault="003416E5" w:rsidP="003416E5">
      <w:pPr>
        <w:pStyle w:val="ListParagraph"/>
        <w:widowControl w:val="0"/>
        <w:numPr>
          <w:ilvl w:val="0"/>
          <w:numId w:val="11"/>
        </w:numPr>
        <w:autoSpaceDE w:val="0"/>
        <w:autoSpaceDN w:val="0"/>
        <w:adjustRightInd w:val="0"/>
        <w:rPr>
          <w:rFonts w:ascii="Calibri" w:hAnsi="Calibri" w:cs="Times New Roman"/>
        </w:rPr>
      </w:pPr>
      <w:r w:rsidRPr="00732DD9">
        <w:rPr>
          <w:rFonts w:ascii="Calibri" w:hAnsi="Calibri" w:cs="Times New Roman"/>
        </w:rPr>
        <w:t xml:space="preserve">Permitting trade-offs: Negotiations </w:t>
      </w:r>
      <w:r>
        <w:rPr>
          <w:rFonts w:ascii="Calibri" w:hAnsi="Calibri" w:cs="Times New Roman"/>
        </w:rPr>
        <w:t xml:space="preserve">should involve multiple issues that allow parties to </w:t>
      </w:r>
      <w:r w:rsidRPr="00732DD9">
        <w:rPr>
          <w:rFonts w:ascii="Calibri" w:hAnsi="Calibri" w:cs="Times New Roman"/>
        </w:rPr>
        <w:t>yield on one issue in order to gain on another.  Single-issue negotiations with a binary solution are less likely to succeed.</w:t>
      </w:r>
    </w:p>
    <w:p w14:paraId="49CBE4C4" w14:textId="77777777" w:rsidR="003416E5" w:rsidRPr="00AD4F19" w:rsidRDefault="003416E5" w:rsidP="003416E5">
      <w:pPr>
        <w:widowControl w:val="0"/>
        <w:autoSpaceDE w:val="0"/>
        <w:autoSpaceDN w:val="0"/>
        <w:adjustRightInd w:val="0"/>
        <w:rPr>
          <w:rFonts w:ascii="Calibri" w:hAnsi="Calibri" w:cs="Times New Roman"/>
        </w:rPr>
      </w:pPr>
    </w:p>
    <w:p w14:paraId="2E141463" w14:textId="5E5BFF8B" w:rsidR="003416E5" w:rsidRDefault="003416E5" w:rsidP="003416E5">
      <w:pPr>
        <w:widowControl w:val="0"/>
        <w:autoSpaceDE w:val="0"/>
        <w:autoSpaceDN w:val="0"/>
        <w:adjustRightInd w:val="0"/>
        <w:rPr>
          <w:rFonts w:ascii="Calibri" w:hAnsi="Calibri" w:cs="Times New Roman"/>
        </w:rPr>
      </w:pPr>
      <w:r>
        <w:rPr>
          <w:rFonts w:ascii="Calibri" w:hAnsi="Calibri" w:cs="Times New Roman"/>
        </w:rPr>
        <w:t xml:space="preserve">Some of the </w:t>
      </w:r>
      <w:r w:rsidR="00AE18A7">
        <w:rPr>
          <w:rFonts w:ascii="Calibri" w:hAnsi="Calibri" w:cs="Times New Roman"/>
        </w:rPr>
        <w:t xml:space="preserve">Administration’s </w:t>
      </w:r>
      <w:r>
        <w:rPr>
          <w:rFonts w:ascii="Calibri" w:hAnsi="Calibri" w:cs="Times New Roman"/>
        </w:rPr>
        <w:t xml:space="preserve">proposed subject matter areas satisfy these conditions better than others.  For example, the sector-based areas (e.g. mobile apps, cloud computing, online services for teenagers, </w:t>
      </w:r>
      <w:r w:rsidR="00CA003F">
        <w:rPr>
          <w:rFonts w:ascii="Calibri" w:hAnsi="Calibri" w:cs="Times New Roman"/>
        </w:rPr>
        <w:t xml:space="preserve">or </w:t>
      </w:r>
      <w:r>
        <w:rPr>
          <w:rFonts w:ascii="Calibri" w:hAnsi="Calibri" w:cs="Times New Roman"/>
        </w:rPr>
        <w:t xml:space="preserve">online services for children) are more likely to </w:t>
      </w:r>
      <w:r w:rsidR="00777683">
        <w:rPr>
          <w:rFonts w:ascii="Calibri" w:hAnsi="Calibri" w:cs="Times New Roman"/>
        </w:rPr>
        <w:t xml:space="preserve">lend themselves to a </w:t>
      </w:r>
      <w:r>
        <w:rPr>
          <w:rFonts w:ascii="Calibri" w:hAnsi="Calibri" w:cs="Times New Roman"/>
        </w:rPr>
        <w:t xml:space="preserve">limited number of </w:t>
      </w:r>
      <w:r w:rsidR="00777683">
        <w:rPr>
          <w:rFonts w:ascii="Calibri" w:hAnsi="Calibri" w:cs="Times New Roman"/>
        </w:rPr>
        <w:t xml:space="preserve">participants </w:t>
      </w:r>
      <w:r>
        <w:rPr>
          <w:rFonts w:ascii="Calibri" w:hAnsi="Calibri" w:cs="Times New Roman"/>
        </w:rPr>
        <w:t xml:space="preserve">than are </w:t>
      </w:r>
      <w:r w:rsidR="00777683">
        <w:rPr>
          <w:rFonts w:ascii="Calibri" w:hAnsi="Calibri" w:cs="Times New Roman"/>
        </w:rPr>
        <w:t xml:space="preserve">the </w:t>
      </w:r>
      <w:proofErr w:type="gramStart"/>
      <w:r>
        <w:rPr>
          <w:rFonts w:ascii="Calibri" w:hAnsi="Calibri" w:cs="Times New Roman"/>
        </w:rPr>
        <w:t>cross-cutting</w:t>
      </w:r>
      <w:proofErr w:type="gramEnd"/>
      <w:r>
        <w:rPr>
          <w:rFonts w:ascii="Calibri" w:hAnsi="Calibri" w:cs="Times New Roman"/>
        </w:rPr>
        <w:t xml:space="preserve"> issues (e.g. accountability mechanisms, </w:t>
      </w:r>
      <w:r w:rsidR="00CA003F">
        <w:rPr>
          <w:rFonts w:ascii="Calibri" w:hAnsi="Calibri" w:cs="Times New Roman"/>
        </w:rPr>
        <w:t xml:space="preserve">or </w:t>
      </w:r>
      <w:r>
        <w:rPr>
          <w:rFonts w:ascii="Calibri" w:hAnsi="Calibri" w:cs="Times New Roman"/>
        </w:rPr>
        <w:t xml:space="preserve">the use of multiple technologies to collect personal data) in which many sectors have an interest.  </w:t>
      </w:r>
    </w:p>
    <w:p w14:paraId="535EE3FE" w14:textId="77777777" w:rsidR="003416E5" w:rsidRDefault="003416E5" w:rsidP="003416E5">
      <w:pPr>
        <w:widowControl w:val="0"/>
        <w:autoSpaceDE w:val="0"/>
        <w:autoSpaceDN w:val="0"/>
        <w:adjustRightInd w:val="0"/>
        <w:rPr>
          <w:rFonts w:ascii="Calibri" w:hAnsi="Calibri" w:cs="Times New Roman"/>
        </w:rPr>
      </w:pPr>
    </w:p>
    <w:p w14:paraId="7A5D72CB" w14:textId="77777777" w:rsidR="003416E5" w:rsidRDefault="003416E5" w:rsidP="003416E5">
      <w:pPr>
        <w:widowControl w:val="0"/>
        <w:autoSpaceDE w:val="0"/>
        <w:autoSpaceDN w:val="0"/>
        <w:adjustRightInd w:val="0"/>
        <w:rPr>
          <w:rFonts w:ascii="Calibri" w:hAnsi="Calibri" w:cs="Times New Roman"/>
        </w:rPr>
      </w:pPr>
      <w:r>
        <w:rPr>
          <w:rFonts w:ascii="Calibri" w:hAnsi="Calibri" w:cs="Times New Roman"/>
        </w:rPr>
        <w:t xml:space="preserve">Of the sector-based areas, the online services for teens and children may present more “mature” issues than new areas such as mobile apps and cloud computing where the issues are still emerging.  On the other hand, online services for children may implicate more fundamental values than some other areas and this could stand in the way of a successful negotiation.    </w:t>
      </w:r>
    </w:p>
    <w:p w14:paraId="6E09C8AF" w14:textId="77777777" w:rsidR="003416E5" w:rsidRDefault="003416E5" w:rsidP="003416E5">
      <w:pPr>
        <w:widowControl w:val="0"/>
        <w:autoSpaceDE w:val="0"/>
        <w:autoSpaceDN w:val="0"/>
        <w:adjustRightInd w:val="0"/>
        <w:rPr>
          <w:rFonts w:ascii="Calibri" w:hAnsi="Calibri" w:cs="Times New Roman"/>
        </w:rPr>
      </w:pPr>
    </w:p>
    <w:p w14:paraId="0864D3FE" w14:textId="77777777" w:rsidR="003416E5" w:rsidRDefault="003416E5" w:rsidP="003416E5">
      <w:pPr>
        <w:widowControl w:val="0"/>
        <w:autoSpaceDE w:val="0"/>
        <w:autoSpaceDN w:val="0"/>
        <w:adjustRightInd w:val="0"/>
        <w:rPr>
          <w:rFonts w:ascii="Calibri" w:hAnsi="Calibri" w:cs="Times New Roman"/>
        </w:rPr>
      </w:pPr>
      <w:r>
        <w:rPr>
          <w:rFonts w:ascii="Calibri" w:hAnsi="Calibri" w:cs="Times New Roman"/>
        </w:rPr>
        <w:t xml:space="preserve">Our point here is not to provide an exhaustive analysis of how the Harter conditions apply to the Administration’s proposed subject matter areas.  Rather, we seek to show </w:t>
      </w:r>
      <w:r w:rsidR="00AE18A7">
        <w:rPr>
          <w:rFonts w:ascii="Calibri" w:hAnsi="Calibri" w:cs="Times New Roman"/>
        </w:rPr>
        <w:t xml:space="preserve">that </w:t>
      </w:r>
      <w:r>
        <w:rPr>
          <w:rFonts w:ascii="Calibri" w:hAnsi="Calibri" w:cs="Times New Roman"/>
        </w:rPr>
        <w:t xml:space="preserve">the </w:t>
      </w:r>
      <w:r w:rsidR="00AE18A7">
        <w:rPr>
          <w:rFonts w:ascii="Calibri" w:hAnsi="Calibri" w:cs="Times New Roman"/>
        </w:rPr>
        <w:t xml:space="preserve">lessons learned from </w:t>
      </w:r>
      <w:r>
        <w:rPr>
          <w:rFonts w:ascii="Calibri" w:hAnsi="Calibri" w:cs="Times New Roman"/>
        </w:rPr>
        <w:t xml:space="preserve">negotiated rulemaking </w:t>
      </w:r>
      <w:r w:rsidR="00AE18A7">
        <w:rPr>
          <w:rFonts w:ascii="Calibri" w:hAnsi="Calibri" w:cs="Times New Roman"/>
        </w:rPr>
        <w:t xml:space="preserve">can prove useful to the Administration as it </w:t>
      </w:r>
      <w:r w:rsidR="00204AED">
        <w:rPr>
          <w:rFonts w:ascii="Calibri" w:hAnsi="Calibri" w:cs="Times New Roman"/>
        </w:rPr>
        <w:t xml:space="preserve">goes about selecting these subject matter areas, and to </w:t>
      </w:r>
      <w:r w:rsidR="001D705D">
        <w:rPr>
          <w:rFonts w:ascii="Calibri" w:hAnsi="Calibri" w:cs="Times New Roman"/>
        </w:rPr>
        <w:t xml:space="preserve">begin to </w:t>
      </w:r>
      <w:r w:rsidR="00204AED">
        <w:rPr>
          <w:rFonts w:ascii="Calibri" w:hAnsi="Calibri" w:cs="Times New Roman"/>
        </w:rPr>
        <w:t xml:space="preserve">illustrate how they might do so.  </w:t>
      </w:r>
    </w:p>
    <w:p w14:paraId="1F2578D7" w14:textId="77777777" w:rsidR="003416E5" w:rsidRPr="008710EE" w:rsidRDefault="003416E5" w:rsidP="003416E5">
      <w:pPr>
        <w:widowControl w:val="0"/>
        <w:autoSpaceDE w:val="0"/>
        <w:autoSpaceDN w:val="0"/>
        <w:adjustRightInd w:val="0"/>
        <w:rPr>
          <w:rFonts w:ascii="Calibri" w:hAnsi="Calibri" w:cs="Times New Roman"/>
        </w:rPr>
      </w:pPr>
    </w:p>
    <w:p w14:paraId="7B99811B" w14:textId="77777777" w:rsidR="003416E5" w:rsidRDefault="003416E5" w:rsidP="003416E5">
      <w:pPr>
        <w:pStyle w:val="ListParagraph"/>
        <w:widowControl w:val="0"/>
        <w:numPr>
          <w:ilvl w:val="0"/>
          <w:numId w:val="12"/>
        </w:numPr>
        <w:autoSpaceDE w:val="0"/>
        <w:autoSpaceDN w:val="0"/>
        <w:adjustRightInd w:val="0"/>
        <w:rPr>
          <w:rFonts w:ascii="Calibri" w:hAnsi="Calibri" w:cs="Times New Roman"/>
        </w:rPr>
      </w:pPr>
      <w:r>
        <w:rPr>
          <w:rFonts w:ascii="Calibri" w:hAnsi="Calibri" w:cs="Times New Roman"/>
        </w:rPr>
        <w:t xml:space="preserve"> The Common Sense Initiative</w:t>
      </w:r>
    </w:p>
    <w:p w14:paraId="4AFAE111" w14:textId="77777777" w:rsidR="003416E5" w:rsidRDefault="003416E5" w:rsidP="003416E5">
      <w:pPr>
        <w:widowControl w:val="0"/>
        <w:autoSpaceDE w:val="0"/>
        <w:autoSpaceDN w:val="0"/>
        <w:adjustRightInd w:val="0"/>
        <w:rPr>
          <w:rFonts w:ascii="Calibri" w:hAnsi="Calibri" w:cs="Times New Roman"/>
        </w:rPr>
      </w:pPr>
    </w:p>
    <w:p w14:paraId="1599378C" w14:textId="0A674DD1" w:rsidR="003416E5" w:rsidRDefault="003416E5" w:rsidP="003416E5">
      <w:pPr>
        <w:widowControl w:val="0"/>
        <w:autoSpaceDE w:val="0"/>
        <w:autoSpaceDN w:val="0"/>
        <w:adjustRightInd w:val="0"/>
        <w:rPr>
          <w:rFonts w:ascii="Calibri" w:hAnsi="Calibri" w:cs="Times New Roman"/>
        </w:rPr>
      </w:pPr>
      <w:r>
        <w:rPr>
          <w:rFonts w:ascii="Calibri" w:hAnsi="Calibri" w:cs="Times New Roman"/>
        </w:rPr>
        <w:t xml:space="preserve">The U.S. Environmental Protection Agency implemented the Common Sense Initiative (CSI) between 1994 and 1998.   CSI sought to use a </w:t>
      </w:r>
      <w:r w:rsidR="00AF4659">
        <w:rPr>
          <w:rFonts w:ascii="Calibri" w:hAnsi="Calibri" w:cs="Times New Roman"/>
        </w:rPr>
        <w:t>multistakeholder</w:t>
      </w:r>
      <w:r>
        <w:rPr>
          <w:rFonts w:ascii="Calibri" w:hAnsi="Calibri" w:cs="Times New Roman"/>
        </w:rPr>
        <w:t>, consensus-based process to develop “cheaper, cleaner and smarter” approaches to environmental regulation.</w:t>
      </w:r>
      <w:r>
        <w:rPr>
          <w:rStyle w:val="FootnoteReference"/>
          <w:rFonts w:ascii="Calibri" w:hAnsi="Calibri" w:cs="Times New Roman"/>
        </w:rPr>
        <w:footnoteReference w:id="25"/>
      </w:r>
      <w:r>
        <w:rPr>
          <w:rFonts w:ascii="Calibri" w:hAnsi="Calibri" w:cs="Times New Roman"/>
        </w:rPr>
        <w:t xml:space="preserve">  Sector-based sub-committees developed consensus recommendations on how EPA could “reinvent” environmental regulations in their particular industry in order to make them less costly and more protective. </w:t>
      </w:r>
      <w:r w:rsidR="00C040BD">
        <w:rPr>
          <w:rFonts w:ascii="Calibri" w:hAnsi="Calibri" w:cs="Times New Roman"/>
        </w:rPr>
        <w:t xml:space="preserve"> Where a committee reached agreement on such a recommendation, EPA considered using it to revise existing rules. </w:t>
      </w:r>
      <w:r>
        <w:rPr>
          <w:rFonts w:ascii="Calibri" w:hAnsi="Calibri" w:cs="Times New Roman"/>
        </w:rPr>
        <w:t xml:space="preserve"> The sub-committees </w:t>
      </w:r>
      <w:r w:rsidR="009330C3">
        <w:rPr>
          <w:rFonts w:ascii="Calibri" w:hAnsi="Calibri" w:cs="Times New Roman"/>
        </w:rPr>
        <w:t xml:space="preserve">consisted </w:t>
      </w:r>
      <w:r>
        <w:rPr>
          <w:rFonts w:ascii="Calibri" w:hAnsi="Calibri" w:cs="Times New Roman"/>
        </w:rPr>
        <w:t>of representatives from industry, national and local environmental organizations, environmental justice and community groups, state, local and federal governments, and labor unions.</w:t>
      </w:r>
      <w:r>
        <w:rPr>
          <w:rStyle w:val="FootnoteReference"/>
          <w:rFonts w:ascii="Calibri" w:hAnsi="Calibri" w:cs="Times New Roman"/>
        </w:rPr>
        <w:footnoteReference w:id="26"/>
      </w:r>
      <w:r>
        <w:rPr>
          <w:rFonts w:ascii="Calibri" w:hAnsi="Calibri" w:cs="Times New Roman"/>
        </w:rPr>
        <w:t xml:space="preserve">  This make-up is quite analogous to the one that the Administration envisions for its </w:t>
      </w:r>
      <w:r w:rsidR="00AF4659">
        <w:rPr>
          <w:rFonts w:ascii="Calibri" w:hAnsi="Calibri" w:cs="Times New Roman"/>
        </w:rPr>
        <w:t>multistakeholder</w:t>
      </w:r>
      <w:r>
        <w:rPr>
          <w:rFonts w:ascii="Calibri" w:hAnsi="Calibri" w:cs="Times New Roman"/>
        </w:rPr>
        <w:t xml:space="preserve"> process.</w:t>
      </w:r>
    </w:p>
    <w:p w14:paraId="31F4BEB1" w14:textId="77777777" w:rsidR="003416E5" w:rsidRDefault="003416E5" w:rsidP="003416E5">
      <w:pPr>
        <w:widowControl w:val="0"/>
        <w:autoSpaceDE w:val="0"/>
        <w:autoSpaceDN w:val="0"/>
        <w:adjustRightInd w:val="0"/>
        <w:rPr>
          <w:rFonts w:ascii="Calibri" w:hAnsi="Calibri" w:cs="Times New Roman"/>
        </w:rPr>
      </w:pPr>
    </w:p>
    <w:p w14:paraId="1544550F" w14:textId="77777777" w:rsidR="003416E5" w:rsidRDefault="009330C3" w:rsidP="003416E5">
      <w:pPr>
        <w:widowControl w:val="0"/>
        <w:autoSpaceDE w:val="0"/>
        <w:autoSpaceDN w:val="0"/>
        <w:adjustRightInd w:val="0"/>
        <w:rPr>
          <w:rFonts w:ascii="Calibri" w:hAnsi="Calibri" w:cs="Times New Roman"/>
        </w:rPr>
      </w:pPr>
      <w:r>
        <w:rPr>
          <w:rFonts w:ascii="Calibri" w:hAnsi="Calibri" w:cs="Times New Roman"/>
        </w:rPr>
        <w:t xml:space="preserve">Studies conclude that </w:t>
      </w:r>
      <w:r w:rsidR="003416E5">
        <w:rPr>
          <w:rFonts w:ascii="Calibri" w:hAnsi="Calibri" w:cs="Times New Roman"/>
        </w:rPr>
        <w:t>CSI’s results were largely disappointing.</w:t>
      </w:r>
      <w:r w:rsidR="003416E5">
        <w:rPr>
          <w:rStyle w:val="FootnoteReference"/>
          <w:rFonts w:ascii="Calibri" w:hAnsi="Calibri" w:cs="Times New Roman"/>
        </w:rPr>
        <w:footnoteReference w:id="27"/>
      </w:r>
      <w:r w:rsidR="003416E5">
        <w:rPr>
          <w:rFonts w:ascii="Calibri" w:hAnsi="Calibri" w:cs="Times New Roman"/>
        </w:rPr>
        <w:t xml:space="preserve">  Despite four years of work and hundreds of hours of meetings, the effort yielded only five complete projects and only eight that, once implemented, could be expected to have direct benefits to the environment.</w:t>
      </w:r>
      <w:r w:rsidR="003416E5">
        <w:rPr>
          <w:rStyle w:val="FootnoteReference"/>
          <w:rFonts w:ascii="Calibri" w:hAnsi="Calibri" w:cs="Times New Roman"/>
        </w:rPr>
        <w:footnoteReference w:id="28"/>
      </w:r>
      <w:r w:rsidR="003416E5">
        <w:rPr>
          <w:rFonts w:ascii="Calibri" w:hAnsi="Calibri" w:cs="Times New Roman"/>
        </w:rPr>
        <w:t xml:space="preserve">  Many of the sub-committee recommendations were </w:t>
      </w:r>
      <w:r w:rsidR="000D1101">
        <w:rPr>
          <w:rFonts w:ascii="Calibri" w:hAnsi="Calibri" w:cs="Times New Roman"/>
        </w:rPr>
        <w:t xml:space="preserve">tepid </w:t>
      </w:r>
      <w:r w:rsidR="003416E5">
        <w:rPr>
          <w:rFonts w:ascii="Calibri" w:hAnsi="Calibri" w:cs="Times New Roman"/>
        </w:rPr>
        <w:t>proposals to conduct research or provide some kind of education</w:t>
      </w:r>
      <w:r w:rsidR="008E7146">
        <w:rPr>
          <w:rFonts w:ascii="Calibri" w:hAnsi="Calibri" w:cs="Times New Roman"/>
        </w:rPr>
        <w:t xml:space="preserve"> rather than bolder ideas for regulatory reinvention</w:t>
      </w:r>
      <w:r w:rsidR="003416E5">
        <w:rPr>
          <w:rFonts w:ascii="Calibri" w:hAnsi="Calibri" w:cs="Times New Roman"/>
        </w:rPr>
        <w:t>.</w:t>
      </w:r>
      <w:r w:rsidR="003416E5">
        <w:rPr>
          <w:rStyle w:val="FootnoteReference"/>
          <w:rFonts w:ascii="Calibri" w:hAnsi="Calibri" w:cs="Times New Roman"/>
        </w:rPr>
        <w:footnoteReference w:id="29"/>
      </w:r>
      <w:r w:rsidR="003416E5">
        <w:rPr>
          <w:rFonts w:ascii="Calibri" w:hAnsi="Calibri" w:cs="Times New Roman"/>
        </w:rPr>
        <w:t xml:space="preserve">  The Initiative’s main accomplishments were “improved stakeholder relationships, better mutual understanding and co-learning, and progress in trust building.”</w:t>
      </w:r>
      <w:r w:rsidR="003416E5">
        <w:rPr>
          <w:rStyle w:val="FootnoteReference"/>
          <w:rFonts w:ascii="Calibri" w:hAnsi="Calibri" w:cs="Times New Roman"/>
        </w:rPr>
        <w:footnoteReference w:id="30"/>
      </w:r>
      <w:r w:rsidR="003416E5">
        <w:rPr>
          <w:rFonts w:ascii="Calibri" w:hAnsi="Calibri" w:cs="Times New Roman"/>
        </w:rPr>
        <w:t xml:space="preserve">  However, it is questionable whether, in the absence of meaningful rule revisions, these results warrant</w:t>
      </w:r>
      <w:r w:rsidR="000D1101">
        <w:rPr>
          <w:rFonts w:ascii="Calibri" w:hAnsi="Calibri" w:cs="Times New Roman"/>
        </w:rPr>
        <w:t>ed</w:t>
      </w:r>
      <w:r w:rsidR="003416E5">
        <w:rPr>
          <w:rFonts w:ascii="Calibri" w:hAnsi="Calibri" w:cs="Times New Roman"/>
        </w:rPr>
        <w:t xml:space="preserve"> the level of effort expended.</w:t>
      </w:r>
      <w:r w:rsidR="003416E5">
        <w:rPr>
          <w:rStyle w:val="FootnoteReference"/>
          <w:rFonts w:ascii="Calibri" w:hAnsi="Calibri" w:cs="Times New Roman"/>
        </w:rPr>
        <w:footnoteReference w:id="31"/>
      </w:r>
    </w:p>
    <w:p w14:paraId="797FE23C" w14:textId="77777777" w:rsidR="003416E5" w:rsidRDefault="003416E5" w:rsidP="003416E5">
      <w:pPr>
        <w:widowControl w:val="0"/>
        <w:autoSpaceDE w:val="0"/>
        <w:autoSpaceDN w:val="0"/>
        <w:adjustRightInd w:val="0"/>
        <w:rPr>
          <w:rFonts w:ascii="Calibri" w:hAnsi="Calibri" w:cs="Times New Roman"/>
        </w:rPr>
      </w:pPr>
    </w:p>
    <w:p w14:paraId="3A170412" w14:textId="77777777" w:rsidR="003416E5" w:rsidRDefault="003416E5" w:rsidP="003416E5">
      <w:pPr>
        <w:widowControl w:val="0"/>
        <w:autoSpaceDE w:val="0"/>
        <w:autoSpaceDN w:val="0"/>
        <w:adjustRightInd w:val="0"/>
        <w:rPr>
          <w:rFonts w:ascii="Calibri" w:hAnsi="Calibri" w:cs="Times New Roman"/>
        </w:rPr>
      </w:pPr>
      <w:r>
        <w:rPr>
          <w:rFonts w:ascii="Calibri" w:hAnsi="Calibri" w:cs="Times New Roman"/>
        </w:rPr>
        <w:t>The CSI experience is relevant for the current proposal because</w:t>
      </w:r>
      <w:r w:rsidR="002C5DB8">
        <w:rPr>
          <w:rFonts w:ascii="Calibri" w:hAnsi="Calibri" w:cs="Times New Roman"/>
        </w:rPr>
        <w:t xml:space="preserve"> it shows some of the </w:t>
      </w:r>
      <w:r>
        <w:rPr>
          <w:rFonts w:ascii="Calibri" w:hAnsi="Calibri" w:cs="Times New Roman"/>
        </w:rPr>
        <w:t>“limitations of consensus as strat</w:t>
      </w:r>
      <w:r w:rsidR="002C5DB8">
        <w:rPr>
          <w:rFonts w:ascii="Calibri" w:hAnsi="Calibri" w:cs="Times New Roman"/>
        </w:rPr>
        <w:t>egy for making policy decisions</w:t>
      </w:r>
      <w:r>
        <w:rPr>
          <w:rFonts w:ascii="Calibri" w:hAnsi="Calibri" w:cs="Times New Roman"/>
        </w:rPr>
        <w:t>”</w:t>
      </w:r>
      <w:r>
        <w:rPr>
          <w:rStyle w:val="FootnoteReference"/>
          <w:rFonts w:ascii="Calibri" w:hAnsi="Calibri" w:cs="Times New Roman"/>
        </w:rPr>
        <w:footnoteReference w:id="32"/>
      </w:r>
      <w:r>
        <w:rPr>
          <w:rFonts w:ascii="Calibri" w:hAnsi="Calibri" w:cs="Times New Roman"/>
        </w:rPr>
        <w:t xml:space="preserve"> </w:t>
      </w:r>
      <w:r w:rsidR="002C5DB8">
        <w:rPr>
          <w:rFonts w:ascii="Calibri" w:hAnsi="Calibri" w:cs="Times New Roman"/>
        </w:rPr>
        <w:t xml:space="preserve">and </w:t>
      </w:r>
      <w:r w:rsidR="00BB2CA6">
        <w:rPr>
          <w:rFonts w:ascii="Calibri" w:hAnsi="Calibri" w:cs="Times New Roman"/>
        </w:rPr>
        <w:t xml:space="preserve">offers lessons on </w:t>
      </w:r>
      <w:r w:rsidR="00BB2CA6">
        <w:rPr>
          <w:rFonts w:ascii="Calibri" w:hAnsi="Calibri" w:cs="Times New Roman"/>
        </w:rPr>
        <w:lastRenderedPageBreak/>
        <w:t xml:space="preserve">how to </w:t>
      </w:r>
      <w:r w:rsidR="002C5DB8">
        <w:rPr>
          <w:rFonts w:ascii="Calibri" w:hAnsi="Calibri" w:cs="Times New Roman"/>
        </w:rPr>
        <w:t xml:space="preserve">make </w:t>
      </w:r>
      <w:r w:rsidR="00AF4659">
        <w:rPr>
          <w:rFonts w:ascii="Calibri" w:hAnsi="Calibri" w:cs="Times New Roman"/>
        </w:rPr>
        <w:t>multistakeholder</w:t>
      </w:r>
      <w:r>
        <w:rPr>
          <w:rFonts w:ascii="Calibri" w:hAnsi="Calibri" w:cs="Times New Roman"/>
        </w:rPr>
        <w:t xml:space="preserve">, consensus-based </w:t>
      </w:r>
      <w:r w:rsidR="002C5DB8">
        <w:rPr>
          <w:rFonts w:ascii="Calibri" w:hAnsi="Calibri" w:cs="Times New Roman"/>
        </w:rPr>
        <w:t>processes work better</w:t>
      </w:r>
      <w:r>
        <w:rPr>
          <w:rFonts w:ascii="Calibri" w:hAnsi="Calibri" w:cs="Times New Roman"/>
        </w:rPr>
        <w:t xml:space="preserve">.  </w:t>
      </w:r>
      <w:r w:rsidR="00D8564D">
        <w:rPr>
          <w:rFonts w:ascii="Calibri" w:hAnsi="Calibri" w:cs="Times New Roman"/>
        </w:rPr>
        <w:t xml:space="preserve">Some important lessons from CSI, drawn from the studies of this experimental program, </w:t>
      </w:r>
      <w:r>
        <w:rPr>
          <w:rFonts w:ascii="Calibri" w:hAnsi="Calibri" w:cs="Times New Roman"/>
        </w:rPr>
        <w:t>are as follows:</w:t>
      </w:r>
    </w:p>
    <w:p w14:paraId="2003EC26" w14:textId="77777777" w:rsidR="003416E5" w:rsidRDefault="003416E5" w:rsidP="003416E5">
      <w:pPr>
        <w:widowControl w:val="0"/>
        <w:autoSpaceDE w:val="0"/>
        <w:autoSpaceDN w:val="0"/>
        <w:adjustRightInd w:val="0"/>
        <w:rPr>
          <w:rFonts w:ascii="Calibri" w:hAnsi="Calibri" w:cs="Times New Roman"/>
        </w:rPr>
      </w:pPr>
    </w:p>
    <w:p w14:paraId="51873DD4" w14:textId="77777777" w:rsidR="003416E5" w:rsidRDefault="003416E5" w:rsidP="003416E5">
      <w:pPr>
        <w:pStyle w:val="ListParagraph"/>
        <w:widowControl w:val="0"/>
        <w:numPr>
          <w:ilvl w:val="0"/>
          <w:numId w:val="9"/>
        </w:numPr>
        <w:autoSpaceDE w:val="0"/>
        <w:autoSpaceDN w:val="0"/>
        <w:adjustRightInd w:val="0"/>
        <w:rPr>
          <w:rFonts w:ascii="Calibri" w:hAnsi="Calibri" w:cs="Times New Roman"/>
        </w:rPr>
      </w:pPr>
      <w:r>
        <w:rPr>
          <w:rFonts w:ascii="Calibri" w:hAnsi="Calibri" w:cs="Times New Roman"/>
        </w:rPr>
        <w:t xml:space="preserve">It is </w:t>
      </w:r>
      <w:r w:rsidR="00324083">
        <w:rPr>
          <w:rFonts w:ascii="Calibri" w:hAnsi="Calibri" w:cs="Times New Roman"/>
        </w:rPr>
        <w:t xml:space="preserve">vital </w:t>
      </w:r>
      <w:r>
        <w:rPr>
          <w:rFonts w:ascii="Calibri" w:hAnsi="Calibri" w:cs="Times New Roman"/>
        </w:rPr>
        <w:t xml:space="preserve">to develop ground-rules at the beginning, rather than counting on each </w:t>
      </w:r>
      <w:r w:rsidR="00AF4659">
        <w:rPr>
          <w:rFonts w:ascii="Calibri" w:hAnsi="Calibri" w:cs="Times New Roman"/>
        </w:rPr>
        <w:t>multistakeholder</w:t>
      </w:r>
      <w:r>
        <w:rPr>
          <w:rFonts w:ascii="Calibri" w:hAnsi="Calibri" w:cs="Times New Roman"/>
        </w:rPr>
        <w:t xml:space="preserve"> group to develop its own ground-rules.  Such ground rules should cover, among other things, the nature of consensus, the development of agendas, the expected level of participation, approaches to resolving conflicts, and the removal of participants who are unduly obstructing the process.</w:t>
      </w:r>
      <w:r>
        <w:rPr>
          <w:rStyle w:val="FootnoteReference"/>
          <w:rFonts w:ascii="Calibri" w:hAnsi="Calibri" w:cs="Times New Roman"/>
        </w:rPr>
        <w:footnoteReference w:id="33"/>
      </w:r>
    </w:p>
    <w:p w14:paraId="4C5BC78E" w14:textId="77777777" w:rsidR="003416E5" w:rsidRDefault="003416E5" w:rsidP="003416E5">
      <w:pPr>
        <w:pStyle w:val="ListParagraph"/>
        <w:widowControl w:val="0"/>
        <w:autoSpaceDE w:val="0"/>
        <w:autoSpaceDN w:val="0"/>
        <w:adjustRightInd w:val="0"/>
        <w:rPr>
          <w:rFonts w:ascii="Calibri" w:hAnsi="Calibri" w:cs="Times New Roman"/>
        </w:rPr>
      </w:pPr>
    </w:p>
    <w:p w14:paraId="78036EBF" w14:textId="77777777" w:rsidR="003416E5" w:rsidRDefault="003416E5" w:rsidP="003416E5">
      <w:pPr>
        <w:pStyle w:val="ListParagraph"/>
        <w:widowControl w:val="0"/>
        <w:numPr>
          <w:ilvl w:val="0"/>
          <w:numId w:val="9"/>
        </w:numPr>
        <w:autoSpaceDE w:val="0"/>
        <w:autoSpaceDN w:val="0"/>
        <w:adjustRightInd w:val="0"/>
        <w:rPr>
          <w:rFonts w:ascii="Calibri" w:hAnsi="Calibri" w:cs="Times New Roman"/>
        </w:rPr>
      </w:pPr>
      <w:r>
        <w:rPr>
          <w:rFonts w:ascii="Calibri" w:hAnsi="Calibri" w:cs="Times New Roman"/>
        </w:rPr>
        <w:t xml:space="preserve">The definition of consensus should not require unanimity as this can lead to </w:t>
      </w:r>
      <w:r w:rsidR="00324083">
        <w:rPr>
          <w:rFonts w:ascii="Calibri" w:hAnsi="Calibri" w:cs="Times New Roman"/>
        </w:rPr>
        <w:t xml:space="preserve">extensive delays and a </w:t>
      </w:r>
      <w:r>
        <w:rPr>
          <w:rFonts w:ascii="Calibri" w:hAnsi="Calibri" w:cs="Times New Roman"/>
        </w:rPr>
        <w:t>“veto-oriented” approach</w:t>
      </w:r>
      <w:r w:rsidR="00133E9E">
        <w:rPr>
          <w:rFonts w:ascii="Calibri" w:hAnsi="Calibri" w:cs="Times New Roman"/>
        </w:rPr>
        <w:t xml:space="preserve"> to negotiation</w:t>
      </w:r>
      <w:r>
        <w:rPr>
          <w:rFonts w:ascii="Calibri" w:hAnsi="Calibri" w:cs="Times New Roman"/>
        </w:rPr>
        <w:t xml:space="preserve">.  Instead, the program should define a more flexible form of consensus that seeks “broad and inclusive” agreement but allows the process to move forward even in the absence of unanimity.  For example, where the group cannot reach unanimous agreement the process could allow </w:t>
      </w:r>
      <w:r w:rsidR="00DA2631">
        <w:rPr>
          <w:rFonts w:ascii="Calibri" w:hAnsi="Calibri" w:cs="Times New Roman"/>
        </w:rPr>
        <w:t>dissenting</w:t>
      </w:r>
      <w:r>
        <w:rPr>
          <w:rFonts w:ascii="Calibri" w:hAnsi="Calibri" w:cs="Times New Roman"/>
        </w:rPr>
        <w:t xml:space="preserve"> stakeholders to express a minority view that is reflected in the final, written product.</w:t>
      </w:r>
      <w:r>
        <w:rPr>
          <w:rStyle w:val="FootnoteReference"/>
          <w:rFonts w:ascii="Calibri" w:hAnsi="Calibri" w:cs="Times New Roman"/>
        </w:rPr>
        <w:footnoteReference w:id="34"/>
      </w:r>
    </w:p>
    <w:p w14:paraId="36BC7F43" w14:textId="77777777" w:rsidR="003416E5" w:rsidRPr="0041613D" w:rsidRDefault="003416E5" w:rsidP="003416E5">
      <w:pPr>
        <w:widowControl w:val="0"/>
        <w:autoSpaceDE w:val="0"/>
        <w:autoSpaceDN w:val="0"/>
        <w:adjustRightInd w:val="0"/>
        <w:rPr>
          <w:rFonts w:ascii="Calibri" w:hAnsi="Calibri" w:cs="Times New Roman"/>
        </w:rPr>
      </w:pPr>
    </w:p>
    <w:p w14:paraId="786AFA23" w14:textId="77777777" w:rsidR="003416E5" w:rsidRDefault="003416E5" w:rsidP="003416E5">
      <w:pPr>
        <w:pStyle w:val="ListParagraph"/>
        <w:widowControl w:val="0"/>
        <w:numPr>
          <w:ilvl w:val="0"/>
          <w:numId w:val="9"/>
        </w:numPr>
        <w:autoSpaceDE w:val="0"/>
        <w:autoSpaceDN w:val="0"/>
        <w:adjustRightInd w:val="0"/>
        <w:rPr>
          <w:rFonts w:ascii="Calibri" w:hAnsi="Calibri" w:cs="Times New Roman"/>
        </w:rPr>
      </w:pPr>
      <w:r>
        <w:rPr>
          <w:rFonts w:ascii="Calibri" w:hAnsi="Calibri" w:cs="Times New Roman"/>
        </w:rPr>
        <w:t>Those CSI sub-committees that utilized trained neutral facilitators performed better than those that did not.</w:t>
      </w:r>
      <w:r>
        <w:rPr>
          <w:rStyle w:val="FootnoteReference"/>
          <w:rFonts w:ascii="Calibri" w:hAnsi="Calibri" w:cs="Times New Roman"/>
        </w:rPr>
        <w:footnoteReference w:id="35"/>
      </w:r>
      <w:r>
        <w:rPr>
          <w:rFonts w:ascii="Calibri" w:hAnsi="Calibri" w:cs="Times New Roman"/>
        </w:rPr>
        <w:t xml:space="preserve">  Future MSH processes, such as the one that the Administration is currently proposing, should consider using trained neutral facilitators for </w:t>
      </w:r>
      <w:r w:rsidR="00110F59">
        <w:rPr>
          <w:rFonts w:ascii="Calibri" w:hAnsi="Calibri" w:cs="Times New Roman"/>
        </w:rPr>
        <w:t xml:space="preserve">all </w:t>
      </w:r>
      <w:r>
        <w:rPr>
          <w:rFonts w:ascii="Calibri" w:hAnsi="Calibri" w:cs="Times New Roman"/>
        </w:rPr>
        <w:t>negotiation</w:t>
      </w:r>
      <w:r w:rsidR="00110F59">
        <w:rPr>
          <w:rFonts w:ascii="Calibri" w:hAnsi="Calibri" w:cs="Times New Roman"/>
        </w:rPr>
        <w:t>s</w:t>
      </w:r>
      <w:r>
        <w:rPr>
          <w:rFonts w:ascii="Calibri" w:hAnsi="Calibri" w:cs="Times New Roman"/>
        </w:rPr>
        <w:t>.</w:t>
      </w:r>
    </w:p>
    <w:p w14:paraId="3B0B17E3" w14:textId="77777777" w:rsidR="003416E5" w:rsidRPr="0041613D" w:rsidRDefault="003416E5" w:rsidP="003416E5">
      <w:pPr>
        <w:widowControl w:val="0"/>
        <w:autoSpaceDE w:val="0"/>
        <w:autoSpaceDN w:val="0"/>
        <w:adjustRightInd w:val="0"/>
        <w:rPr>
          <w:rFonts w:ascii="Calibri" w:hAnsi="Calibri" w:cs="Times New Roman"/>
        </w:rPr>
      </w:pPr>
    </w:p>
    <w:p w14:paraId="33A02D04" w14:textId="77777777" w:rsidR="003416E5" w:rsidRDefault="003416E5" w:rsidP="003416E5">
      <w:pPr>
        <w:pStyle w:val="ListParagraph"/>
        <w:widowControl w:val="0"/>
        <w:numPr>
          <w:ilvl w:val="0"/>
          <w:numId w:val="9"/>
        </w:numPr>
        <w:autoSpaceDE w:val="0"/>
        <w:autoSpaceDN w:val="0"/>
        <w:adjustRightInd w:val="0"/>
        <w:rPr>
          <w:rFonts w:ascii="Calibri" w:hAnsi="Calibri" w:cs="Times New Roman"/>
        </w:rPr>
      </w:pPr>
      <w:r>
        <w:rPr>
          <w:rFonts w:ascii="Calibri" w:hAnsi="Calibri" w:cs="Times New Roman"/>
        </w:rPr>
        <w:t>The lack of specific deadlines contributed to the slow pace of negotiations.  Once EPA imposed deadlines this “helped to galvanize action.”</w:t>
      </w:r>
      <w:r>
        <w:rPr>
          <w:rStyle w:val="FootnoteReference"/>
          <w:rFonts w:ascii="Calibri" w:hAnsi="Calibri" w:cs="Times New Roman"/>
        </w:rPr>
        <w:footnoteReference w:id="36"/>
      </w:r>
      <w:r>
        <w:rPr>
          <w:rFonts w:ascii="Calibri" w:hAnsi="Calibri" w:cs="Times New Roman"/>
        </w:rPr>
        <w:t xml:space="preserve">  Future MSH processes should consider setting deadlines </w:t>
      </w:r>
      <w:r w:rsidR="005116F2">
        <w:rPr>
          <w:rFonts w:ascii="Calibri" w:hAnsi="Calibri" w:cs="Times New Roman"/>
        </w:rPr>
        <w:t xml:space="preserve">at </w:t>
      </w:r>
      <w:r>
        <w:rPr>
          <w:rFonts w:ascii="Calibri" w:hAnsi="Calibri" w:cs="Times New Roman"/>
        </w:rPr>
        <w:t>the outset.</w:t>
      </w:r>
    </w:p>
    <w:p w14:paraId="22EBCC38" w14:textId="77777777" w:rsidR="003416E5" w:rsidRPr="0041613D" w:rsidRDefault="003416E5" w:rsidP="003416E5">
      <w:pPr>
        <w:widowControl w:val="0"/>
        <w:autoSpaceDE w:val="0"/>
        <w:autoSpaceDN w:val="0"/>
        <w:adjustRightInd w:val="0"/>
        <w:rPr>
          <w:rFonts w:ascii="Calibri" w:hAnsi="Calibri" w:cs="Times New Roman"/>
        </w:rPr>
      </w:pPr>
    </w:p>
    <w:p w14:paraId="4B064B0C" w14:textId="77777777" w:rsidR="003416E5" w:rsidRDefault="003416E5" w:rsidP="003416E5">
      <w:pPr>
        <w:pStyle w:val="ListParagraph"/>
        <w:widowControl w:val="0"/>
        <w:numPr>
          <w:ilvl w:val="0"/>
          <w:numId w:val="9"/>
        </w:numPr>
        <w:autoSpaceDE w:val="0"/>
        <w:autoSpaceDN w:val="0"/>
        <w:adjustRightInd w:val="0"/>
        <w:rPr>
          <w:rFonts w:ascii="Calibri" w:hAnsi="Calibri" w:cs="Times New Roman"/>
        </w:rPr>
      </w:pPr>
      <w:r>
        <w:rPr>
          <w:rFonts w:ascii="Calibri" w:hAnsi="Calibri" w:cs="Times New Roman"/>
        </w:rPr>
        <w:t>The NTIA’s request for comments asks how the Administration can ensure diverse participation where some interested parties have fewer resources than others.</w:t>
      </w:r>
      <w:r>
        <w:rPr>
          <w:rStyle w:val="FootnoteReference"/>
          <w:rFonts w:ascii="Calibri" w:hAnsi="Calibri" w:cs="Times New Roman"/>
        </w:rPr>
        <w:footnoteReference w:id="37"/>
      </w:r>
      <w:r>
        <w:rPr>
          <w:rFonts w:ascii="Calibri" w:hAnsi="Calibri" w:cs="Times New Roman"/>
        </w:rPr>
        <w:t xml:space="preserve">  This issue arose in the CSI context.  Smaller environmental and community groups needed technical support in order to participate effectively.  The initiative did not provide for such support and this impaired the negotiation process.  Future MSH processes should provide technical trainers, selected by the under-resourced groups themselves, as a part of the program structure.  </w:t>
      </w:r>
      <w:r>
        <w:rPr>
          <w:rFonts w:ascii="Calibri" w:hAnsi="Calibri" w:cs="Times New Roman"/>
        </w:rPr>
        <w:lastRenderedPageBreak/>
        <w:t>With such training, smaller groups can feel more confident about the technical details and so be more willing to take the risks needed to reach an agreement.</w:t>
      </w:r>
      <w:r>
        <w:rPr>
          <w:rStyle w:val="FootnoteReference"/>
          <w:rFonts w:ascii="Calibri" w:hAnsi="Calibri" w:cs="Times New Roman"/>
        </w:rPr>
        <w:footnoteReference w:id="38"/>
      </w:r>
      <w:r>
        <w:rPr>
          <w:rFonts w:ascii="Calibri" w:hAnsi="Calibri" w:cs="Times New Roman"/>
        </w:rPr>
        <w:t xml:space="preserve">  The Administration should also consider providing under-resourced groups with direct grants for travel and other participation-related expenses.  </w:t>
      </w:r>
    </w:p>
    <w:p w14:paraId="4B79E8DF" w14:textId="77777777" w:rsidR="003416E5" w:rsidRPr="008710EE" w:rsidRDefault="003416E5" w:rsidP="00AF1AD2">
      <w:pPr>
        <w:widowControl w:val="0"/>
        <w:autoSpaceDE w:val="0"/>
        <w:autoSpaceDN w:val="0"/>
        <w:adjustRightInd w:val="0"/>
        <w:rPr>
          <w:rFonts w:ascii="Calibri" w:hAnsi="Calibri"/>
        </w:rPr>
      </w:pPr>
    </w:p>
    <w:p w14:paraId="1EE780DD" w14:textId="77777777" w:rsidR="005370CD" w:rsidRPr="008710EE" w:rsidRDefault="005370CD" w:rsidP="001F10BD">
      <w:pPr>
        <w:rPr>
          <w:rFonts w:ascii="Calibri" w:hAnsi="Calibri"/>
        </w:rPr>
      </w:pPr>
    </w:p>
    <w:p w14:paraId="32476D8F" w14:textId="77777777" w:rsidR="005370CD" w:rsidRPr="00AF1AD2" w:rsidRDefault="00502475" w:rsidP="004F299F">
      <w:pPr>
        <w:outlineLvl w:val="0"/>
        <w:rPr>
          <w:rFonts w:ascii="Calibri" w:hAnsi="Calibri"/>
          <w:b/>
        </w:rPr>
      </w:pPr>
      <w:r w:rsidRPr="003416E5">
        <w:rPr>
          <w:rFonts w:ascii="Calibri" w:hAnsi="Calibri"/>
          <w:b/>
        </w:rPr>
        <w:t>Conclusion</w:t>
      </w:r>
    </w:p>
    <w:p w14:paraId="7942E787" w14:textId="77777777" w:rsidR="00DF2BF0" w:rsidRPr="008710EE" w:rsidRDefault="00DF2BF0" w:rsidP="00AB06FB">
      <w:pPr>
        <w:widowControl w:val="0"/>
        <w:autoSpaceDE w:val="0"/>
        <w:autoSpaceDN w:val="0"/>
        <w:adjustRightInd w:val="0"/>
        <w:rPr>
          <w:rFonts w:ascii="Calibri" w:hAnsi="Calibri"/>
        </w:rPr>
      </w:pPr>
    </w:p>
    <w:p w14:paraId="16B92B6B" w14:textId="77777777" w:rsidR="0065208E" w:rsidRDefault="00AF4659" w:rsidP="00AB06FB">
      <w:pPr>
        <w:widowControl w:val="0"/>
        <w:autoSpaceDE w:val="0"/>
        <w:autoSpaceDN w:val="0"/>
        <w:adjustRightInd w:val="0"/>
        <w:rPr>
          <w:rFonts w:ascii="Calibri" w:hAnsi="Calibri"/>
        </w:rPr>
      </w:pPr>
      <w:r>
        <w:rPr>
          <w:rFonts w:ascii="Calibri" w:hAnsi="Calibri"/>
        </w:rPr>
        <w:t>Multistakeholder</w:t>
      </w:r>
      <w:r w:rsidR="00B26FC2">
        <w:rPr>
          <w:rFonts w:ascii="Calibri" w:hAnsi="Calibri"/>
        </w:rPr>
        <w:t xml:space="preserve"> processes are an innovative</w:t>
      </w:r>
      <w:r w:rsidR="00AC71E7">
        <w:rPr>
          <w:rFonts w:ascii="Calibri" w:hAnsi="Calibri"/>
        </w:rPr>
        <w:t xml:space="preserve"> and </w:t>
      </w:r>
      <w:r w:rsidR="00B26FC2">
        <w:rPr>
          <w:rFonts w:ascii="Calibri" w:hAnsi="Calibri"/>
        </w:rPr>
        <w:t>potentially useful</w:t>
      </w:r>
      <w:r w:rsidR="00AC71E7">
        <w:rPr>
          <w:rFonts w:ascii="Calibri" w:hAnsi="Calibri"/>
        </w:rPr>
        <w:t xml:space="preserve"> way to develop</w:t>
      </w:r>
      <w:r w:rsidR="001562F4">
        <w:rPr>
          <w:rFonts w:ascii="Calibri" w:hAnsi="Calibri"/>
        </w:rPr>
        <w:t xml:space="preserve"> enforceable codes of conduct.</w:t>
      </w:r>
      <w:r w:rsidR="00766B4A">
        <w:rPr>
          <w:rFonts w:ascii="Calibri" w:hAnsi="Calibri"/>
        </w:rPr>
        <w:t xml:space="preserve"> </w:t>
      </w:r>
      <w:r w:rsidR="001562F4">
        <w:rPr>
          <w:rFonts w:ascii="Calibri" w:hAnsi="Calibri"/>
        </w:rPr>
        <w:t xml:space="preserve"> </w:t>
      </w:r>
      <w:r w:rsidR="00AC71E7">
        <w:rPr>
          <w:rFonts w:ascii="Calibri" w:hAnsi="Calibri"/>
        </w:rPr>
        <w:t>The</w:t>
      </w:r>
      <w:r w:rsidR="001562F4">
        <w:rPr>
          <w:rFonts w:ascii="Calibri" w:hAnsi="Calibri"/>
        </w:rPr>
        <w:t>y</w:t>
      </w:r>
      <w:r w:rsidR="00AC71E7">
        <w:rPr>
          <w:rFonts w:ascii="Calibri" w:hAnsi="Calibri"/>
        </w:rPr>
        <w:t xml:space="preserve"> </w:t>
      </w:r>
      <w:r w:rsidR="0065208E">
        <w:rPr>
          <w:rFonts w:ascii="Calibri" w:hAnsi="Calibri"/>
        </w:rPr>
        <w:t xml:space="preserve">can </w:t>
      </w:r>
      <w:r w:rsidR="00AC71E7">
        <w:rPr>
          <w:rFonts w:ascii="Calibri" w:hAnsi="Calibri"/>
        </w:rPr>
        <w:t>bring together diverse groups in order to forge consens</w:t>
      </w:r>
      <w:r w:rsidR="001562F4">
        <w:rPr>
          <w:rFonts w:ascii="Calibri" w:hAnsi="Calibri"/>
        </w:rPr>
        <w:t>us on important policy issues.</w:t>
      </w:r>
      <w:r w:rsidR="00766B4A">
        <w:rPr>
          <w:rFonts w:ascii="Calibri" w:hAnsi="Calibri"/>
        </w:rPr>
        <w:t xml:space="preserve"> </w:t>
      </w:r>
      <w:r w:rsidR="001562F4">
        <w:rPr>
          <w:rFonts w:ascii="Calibri" w:hAnsi="Calibri"/>
        </w:rPr>
        <w:t xml:space="preserve"> </w:t>
      </w:r>
      <w:r w:rsidR="00AC71E7">
        <w:rPr>
          <w:rFonts w:ascii="Calibri" w:hAnsi="Calibri"/>
        </w:rPr>
        <w:t xml:space="preserve">Yet they can also prove difficult to implement and their success is by no means guaranteed.  </w:t>
      </w:r>
    </w:p>
    <w:p w14:paraId="58C367A2" w14:textId="77777777" w:rsidR="0065208E" w:rsidRDefault="0065208E" w:rsidP="00AB06FB">
      <w:pPr>
        <w:widowControl w:val="0"/>
        <w:autoSpaceDE w:val="0"/>
        <w:autoSpaceDN w:val="0"/>
        <w:adjustRightInd w:val="0"/>
        <w:rPr>
          <w:rFonts w:ascii="Calibri" w:hAnsi="Calibri"/>
        </w:rPr>
      </w:pPr>
    </w:p>
    <w:p w14:paraId="5B6BA1CB" w14:textId="77777777" w:rsidR="00DF2BF0" w:rsidRPr="008710EE" w:rsidRDefault="00AC71E7" w:rsidP="00AB06FB">
      <w:pPr>
        <w:widowControl w:val="0"/>
        <w:autoSpaceDE w:val="0"/>
        <w:autoSpaceDN w:val="0"/>
        <w:adjustRightInd w:val="0"/>
        <w:rPr>
          <w:rFonts w:ascii="Calibri" w:hAnsi="Calibri"/>
        </w:rPr>
      </w:pPr>
      <w:r>
        <w:rPr>
          <w:rFonts w:ascii="Calibri" w:hAnsi="Calibri"/>
        </w:rPr>
        <w:t>In these comments, we have argued that the “free-rider” problem poses a substantial obstacle for the Administration’s MSH proposal</w:t>
      </w:r>
      <w:r w:rsidR="001562F4">
        <w:rPr>
          <w:rFonts w:ascii="Calibri" w:hAnsi="Calibri"/>
        </w:rPr>
        <w:t xml:space="preserve"> and </w:t>
      </w:r>
      <w:r>
        <w:rPr>
          <w:rFonts w:ascii="Calibri" w:hAnsi="Calibri"/>
        </w:rPr>
        <w:t>have suggested a three-pronged enforcement stra</w:t>
      </w:r>
      <w:r w:rsidR="001562F4">
        <w:rPr>
          <w:rFonts w:ascii="Calibri" w:hAnsi="Calibri"/>
        </w:rPr>
        <w:t xml:space="preserve">tegy to mitigate this problem. </w:t>
      </w:r>
      <w:r w:rsidR="00766B4A">
        <w:rPr>
          <w:rFonts w:ascii="Calibri" w:hAnsi="Calibri"/>
        </w:rPr>
        <w:t xml:space="preserve"> </w:t>
      </w:r>
      <w:r>
        <w:rPr>
          <w:rFonts w:ascii="Calibri" w:hAnsi="Calibri"/>
        </w:rPr>
        <w:t>We have further arg</w:t>
      </w:r>
      <w:r w:rsidR="0065208E">
        <w:rPr>
          <w:rFonts w:ascii="Calibri" w:hAnsi="Calibri"/>
        </w:rPr>
        <w:t>ued that environmental covenants, not Internet standards</w:t>
      </w:r>
      <w:r w:rsidR="00527E3D">
        <w:rPr>
          <w:rFonts w:ascii="Calibri" w:hAnsi="Calibri"/>
        </w:rPr>
        <w:t xml:space="preserve">, provide the most </w:t>
      </w:r>
      <w:r w:rsidR="0065208E">
        <w:rPr>
          <w:rFonts w:ascii="Calibri" w:hAnsi="Calibri"/>
        </w:rPr>
        <w:t>analogous and instructive models</w:t>
      </w:r>
      <w:r w:rsidR="00527E3D">
        <w:rPr>
          <w:rFonts w:ascii="Calibri" w:hAnsi="Calibri"/>
        </w:rPr>
        <w:t xml:space="preserve"> for the proposed </w:t>
      </w:r>
      <w:r w:rsidR="001562F4">
        <w:rPr>
          <w:rFonts w:ascii="Calibri" w:hAnsi="Calibri"/>
        </w:rPr>
        <w:t xml:space="preserve">MSH codes. </w:t>
      </w:r>
      <w:r>
        <w:rPr>
          <w:rFonts w:ascii="Calibri" w:hAnsi="Calibri"/>
        </w:rPr>
        <w:t xml:space="preserve"> </w:t>
      </w:r>
      <w:r w:rsidR="00527E3D">
        <w:rPr>
          <w:rFonts w:ascii="Calibri" w:hAnsi="Calibri"/>
        </w:rPr>
        <w:t>We have drawn on the U.S. experience with environmental covenants –</w:t>
      </w:r>
      <w:r w:rsidR="001562F4">
        <w:rPr>
          <w:rFonts w:ascii="Calibri" w:hAnsi="Calibri"/>
        </w:rPr>
        <w:t xml:space="preserve"> negotiated rulemaking</w:t>
      </w:r>
      <w:r w:rsidR="00527E3D">
        <w:rPr>
          <w:rFonts w:ascii="Calibri" w:hAnsi="Calibri"/>
        </w:rPr>
        <w:t xml:space="preserve"> and the Common Sense Initiative – to identify some useful lessons for the Administration’s MSH process.  We hope that </w:t>
      </w:r>
      <w:r w:rsidR="001562F4">
        <w:rPr>
          <w:rFonts w:ascii="Calibri" w:hAnsi="Calibri"/>
        </w:rPr>
        <w:t xml:space="preserve">the Administration finds </w:t>
      </w:r>
      <w:r w:rsidR="00527E3D">
        <w:rPr>
          <w:rFonts w:ascii="Calibri" w:hAnsi="Calibri"/>
        </w:rPr>
        <w:t xml:space="preserve">these comments </w:t>
      </w:r>
      <w:r w:rsidR="001562F4">
        <w:rPr>
          <w:rFonts w:ascii="Calibri" w:hAnsi="Calibri"/>
        </w:rPr>
        <w:t xml:space="preserve">to be </w:t>
      </w:r>
      <w:r w:rsidR="00527E3D">
        <w:rPr>
          <w:rFonts w:ascii="Calibri" w:hAnsi="Calibri"/>
        </w:rPr>
        <w:t>helpful as it continues its important work on MSH codes of conduct.</w:t>
      </w:r>
    </w:p>
    <w:p w14:paraId="4B2AD0D2" w14:textId="77777777" w:rsidR="00EE2E44" w:rsidRPr="008710EE" w:rsidRDefault="00EE2E44">
      <w:pPr>
        <w:rPr>
          <w:rFonts w:ascii="Calibri" w:hAnsi="Calibri"/>
        </w:rPr>
      </w:pPr>
    </w:p>
    <w:sectPr w:rsidR="00EE2E44" w:rsidRPr="008710EE" w:rsidSect="000D7342">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1EA18" w14:textId="77777777" w:rsidR="00241535" w:rsidRDefault="00241535" w:rsidP="00483F67">
      <w:r>
        <w:separator/>
      </w:r>
    </w:p>
  </w:endnote>
  <w:endnote w:type="continuationSeparator" w:id="0">
    <w:p w14:paraId="3D20C52D" w14:textId="77777777" w:rsidR="00241535" w:rsidRDefault="00241535" w:rsidP="0048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Myriad Pro">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29424" w14:textId="77777777" w:rsidR="00241535" w:rsidRDefault="00241535" w:rsidP="00EE2E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59DBBB" w14:textId="77777777" w:rsidR="00241535" w:rsidRDefault="0024153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30191" w14:textId="77777777" w:rsidR="00241535" w:rsidRDefault="00241535" w:rsidP="00EE2E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52CD">
      <w:rPr>
        <w:rStyle w:val="PageNumber"/>
        <w:noProof/>
      </w:rPr>
      <w:t>4</w:t>
    </w:r>
    <w:r>
      <w:rPr>
        <w:rStyle w:val="PageNumber"/>
      </w:rPr>
      <w:fldChar w:fldCharType="end"/>
    </w:r>
  </w:p>
  <w:p w14:paraId="17000825" w14:textId="77777777" w:rsidR="00241535" w:rsidRDefault="002415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9ED98" w14:textId="77777777" w:rsidR="00241535" w:rsidRDefault="00241535" w:rsidP="00483F67">
      <w:r>
        <w:separator/>
      </w:r>
    </w:p>
  </w:footnote>
  <w:footnote w:type="continuationSeparator" w:id="0">
    <w:p w14:paraId="124DBF0F" w14:textId="77777777" w:rsidR="00241535" w:rsidRDefault="00241535" w:rsidP="00483F67">
      <w:r>
        <w:continuationSeparator/>
      </w:r>
    </w:p>
  </w:footnote>
  <w:footnote w:id="1">
    <w:p w14:paraId="61AEB07D" w14:textId="382107FE" w:rsidR="00241535" w:rsidRPr="00576BA1" w:rsidRDefault="00241535" w:rsidP="00695F10">
      <w:pPr>
        <w:widowControl w:val="0"/>
        <w:autoSpaceDE w:val="0"/>
        <w:autoSpaceDN w:val="0"/>
        <w:adjustRightInd w:val="0"/>
        <w:rPr>
          <w:rFonts w:ascii="Calibri" w:hAnsi="Calibri" w:cs="Times New Roman"/>
          <w:i/>
          <w:sz w:val="20"/>
          <w:szCs w:val="20"/>
        </w:rPr>
      </w:pPr>
      <w:r w:rsidRPr="00564DA9">
        <w:rPr>
          <w:rStyle w:val="FootnoteReference"/>
          <w:rFonts w:ascii="Calibri" w:hAnsi="Calibri"/>
          <w:sz w:val="20"/>
          <w:szCs w:val="20"/>
        </w:rPr>
        <w:footnoteRef/>
      </w:r>
      <w:r w:rsidRPr="00564DA9">
        <w:rPr>
          <w:rFonts w:ascii="Calibri" w:hAnsi="Calibri"/>
          <w:sz w:val="20"/>
          <w:szCs w:val="20"/>
        </w:rPr>
        <w:t xml:space="preserve"> </w:t>
      </w:r>
      <w:r w:rsidRPr="00576BA1">
        <w:rPr>
          <w:rFonts w:ascii="Calibri" w:hAnsi="Calibri" w:cs="Times New Roman"/>
          <w:i/>
          <w:sz w:val="20"/>
          <w:szCs w:val="20"/>
        </w:rPr>
        <w:t>See, e.g.,</w:t>
      </w:r>
      <w:r>
        <w:rPr>
          <w:rFonts w:ascii="Calibri" w:hAnsi="Calibri" w:cs="Times New Roman"/>
          <w:sz w:val="20"/>
          <w:szCs w:val="20"/>
        </w:rPr>
        <w:t xml:space="preserve"> </w:t>
      </w:r>
      <w:r w:rsidRPr="00564DA9">
        <w:rPr>
          <w:rFonts w:ascii="Calibri" w:hAnsi="Calibri" w:cs="Times New Roman"/>
          <w:sz w:val="20"/>
          <w:szCs w:val="20"/>
        </w:rPr>
        <w:t xml:space="preserve">Dennis D. Hirsch, </w:t>
      </w:r>
      <w:r w:rsidRPr="00576BA1">
        <w:rPr>
          <w:rFonts w:ascii="Calibri" w:hAnsi="Calibri" w:cs="Times New Roman"/>
          <w:i/>
          <w:sz w:val="20"/>
          <w:szCs w:val="20"/>
        </w:rPr>
        <w:t>Protecting the Inner Environment: What Privacy Regulation Can</w:t>
      </w:r>
    </w:p>
    <w:p w14:paraId="05B588C6" w14:textId="77777777" w:rsidR="00241535" w:rsidRPr="00564DA9" w:rsidRDefault="00241535" w:rsidP="00695F10">
      <w:pPr>
        <w:pStyle w:val="FootnoteText"/>
        <w:rPr>
          <w:rFonts w:ascii="Calibri" w:eastAsia="Times New Roman" w:hAnsi="Calibri" w:cs="Arial"/>
          <w:iCs/>
          <w:szCs w:val="20"/>
        </w:rPr>
      </w:pPr>
      <w:r w:rsidRPr="00576BA1">
        <w:rPr>
          <w:rFonts w:ascii="Calibri" w:hAnsi="Calibri" w:cs="Times New Roman"/>
          <w:i/>
          <w:szCs w:val="20"/>
        </w:rPr>
        <w:t>Learn from Environmental Law</w:t>
      </w:r>
      <w:r>
        <w:rPr>
          <w:rFonts w:ascii="Calibri" w:hAnsi="Calibri" w:cs="Times New Roman"/>
          <w:szCs w:val="20"/>
        </w:rPr>
        <w:t xml:space="preserve">, 41 </w:t>
      </w:r>
      <w:r>
        <w:rPr>
          <w:rFonts w:ascii="Calibri" w:hAnsi="Calibri" w:cs="Times New Roman"/>
          <w:smallCaps/>
          <w:szCs w:val="20"/>
        </w:rPr>
        <w:t>Georgia L. Rev.</w:t>
      </w:r>
      <w:r w:rsidRPr="00564DA9">
        <w:rPr>
          <w:rFonts w:ascii="Calibri" w:hAnsi="Calibri" w:cs="Times New Roman"/>
          <w:szCs w:val="20"/>
        </w:rPr>
        <w:t xml:space="preserve"> 1 (2006)</w:t>
      </w:r>
      <w:proofErr w:type="gramStart"/>
      <w:r w:rsidRPr="00564DA9">
        <w:rPr>
          <w:rFonts w:ascii="Calibri" w:hAnsi="Calibri" w:cs="Times New Roman"/>
          <w:szCs w:val="20"/>
        </w:rPr>
        <w:t>;</w:t>
      </w:r>
      <w:proofErr w:type="gramEnd"/>
      <w:r w:rsidRPr="00564DA9">
        <w:rPr>
          <w:rFonts w:ascii="Calibri" w:hAnsi="Calibri" w:cs="Times New Roman"/>
          <w:szCs w:val="20"/>
        </w:rPr>
        <w:t xml:space="preserve"> Ira S. Rubinstein, </w:t>
      </w:r>
      <w:r w:rsidRPr="00576BA1">
        <w:rPr>
          <w:rFonts w:ascii="Calibri" w:hAnsi="Calibri" w:cs="Times New Roman"/>
          <w:i/>
          <w:szCs w:val="20"/>
        </w:rPr>
        <w:t>Privacy and Regulatory Innovation: Moving Beyond Voluntary Codes</w:t>
      </w:r>
      <w:r w:rsidRPr="00564DA9">
        <w:rPr>
          <w:rFonts w:ascii="Calibri" w:hAnsi="Calibri" w:cs="Times New Roman"/>
          <w:szCs w:val="20"/>
        </w:rPr>
        <w:t xml:space="preserve">, </w:t>
      </w:r>
      <w:r w:rsidRPr="00564DA9">
        <w:rPr>
          <w:rFonts w:ascii="Calibri" w:eastAsia="Times New Roman" w:hAnsi="Calibri" w:cs="Arial"/>
          <w:iCs/>
          <w:szCs w:val="20"/>
        </w:rPr>
        <w:t xml:space="preserve">6 I/S, </w:t>
      </w:r>
      <w:r w:rsidRPr="00564DA9">
        <w:rPr>
          <w:rFonts w:ascii="Calibri" w:eastAsia="Times New Roman" w:hAnsi="Calibri" w:cs="Arial"/>
          <w:smallCaps/>
          <w:szCs w:val="20"/>
        </w:rPr>
        <w:t>J. Law and Policy for the Information Society</w:t>
      </w:r>
      <w:r w:rsidRPr="00564DA9">
        <w:rPr>
          <w:rFonts w:ascii="Calibri" w:eastAsia="Times New Roman" w:hAnsi="Calibri" w:cs="Arial"/>
          <w:iCs/>
          <w:szCs w:val="20"/>
        </w:rPr>
        <w:t xml:space="preserve"> 356 (2011). </w:t>
      </w:r>
    </w:p>
    <w:p w14:paraId="204CD3D9" w14:textId="77777777" w:rsidR="00241535" w:rsidRPr="00564DA9" w:rsidRDefault="00241535" w:rsidP="00695F10">
      <w:pPr>
        <w:pStyle w:val="FootnoteText"/>
        <w:rPr>
          <w:rFonts w:ascii="Calibri" w:hAnsi="Calibri"/>
          <w:szCs w:val="20"/>
        </w:rPr>
      </w:pPr>
    </w:p>
  </w:footnote>
  <w:footnote w:id="2">
    <w:p w14:paraId="3E67DCFC" w14:textId="77777777" w:rsidR="00241535" w:rsidRDefault="00241535" w:rsidP="00695F10">
      <w:pPr>
        <w:widowControl w:val="0"/>
        <w:autoSpaceDE w:val="0"/>
        <w:autoSpaceDN w:val="0"/>
        <w:adjustRightInd w:val="0"/>
        <w:rPr>
          <w:rFonts w:ascii="Calibri" w:hAnsi="Calibri"/>
          <w:sz w:val="20"/>
          <w:szCs w:val="20"/>
        </w:rPr>
      </w:pPr>
      <w:r w:rsidRPr="00564DA9">
        <w:rPr>
          <w:rStyle w:val="FootnoteReference"/>
          <w:rFonts w:ascii="Calibri" w:hAnsi="Calibri"/>
          <w:sz w:val="20"/>
          <w:szCs w:val="20"/>
        </w:rPr>
        <w:footnoteRef/>
      </w:r>
      <w:r w:rsidRPr="00564DA9">
        <w:rPr>
          <w:rFonts w:ascii="Calibri" w:hAnsi="Calibri"/>
          <w:sz w:val="20"/>
          <w:szCs w:val="20"/>
        </w:rPr>
        <w:t xml:space="preserve"> </w:t>
      </w:r>
      <w:r w:rsidRPr="00576BA1">
        <w:rPr>
          <w:rFonts w:ascii="Calibri" w:hAnsi="Calibri"/>
          <w:i/>
          <w:sz w:val="20"/>
          <w:szCs w:val="20"/>
        </w:rPr>
        <w:t>See</w:t>
      </w:r>
      <w:r w:rsidRPr="00564DA9">
        <w:rPr>
          <w:rFonts w:ascii="Calibri" w:hAnsi="Calibri"/>
          <w:sz w:val="20"/>
          <w:szCs w:val="20"/>
        </w:rPr>
        <w:t xml:space="preserve"> Executive Office of the President, Consumer Data Privacy in a Networked World: A Framework for Protecting Privacy and Promoting Innovation in the Global Digital Economy </w:t>
      </w:r>
      <w:r>
        <w:rPr>
          <w:rFonts w:ascii="Calibri" w:hAnsi="Calibri"/>
          <w:sz w:val="20"/>
          <w:szCs w:val="20"/>
        </w:rPr>
        <w:t>9-22</w:t>
      </w:r>
      <w:r w:rsidRPr="00564DA9">
        <w:rPr>
          <w:rFonts w:ascii="Calibri" w:hAnsi="Calibri"/>
          <w:sz w:val="20"/>
          <w:szCs w:val="20"/>
        </w:rPr>
        <w:t xml:space="preserve"> (2012)</w:t>
      </w:r>
      <w:r w:rsidRPr="00564DA9">
        <w:rPr>
          <w:rFonts w:ascii="Calibri" w:hAnsi="Calibri"/>
          <w:bCs/>
          <w:sz w:val="20"/>
          <w:szCs w:val="20"/>
        </w:rPr>
        <w:t>(the ‘‘</w:t>
      </w:r>
      <w:r>
        <w:rPr>
          <w:rFonts w:ascii="Calibri" w:hAnsi="Calibri"/>
          <w:bCs/>
          <w:sz w:val="20"/>
          <w:szCs w:val="20"/>
        </w:rPr>
        <w:t>White Paper</w:t>
      </w:r>
      <w:r w:rsidRPr="00564DA9">
        <w:rPr>
          <w:rFonts w:ascii="Calibri" w:hAnsi="Calibri"/>
          <w:bCs/>
          <w:sz w:val="20"/>
          <w:szCs w:val="20"/>
        </w:rPr>
        <w:t>”).</w:t>
      </w:r>
      <w:r w:rsidRPr="00564DA9">
        <w:rPr>
          <w:rFonts w:ascii="Calibri" w:hAnsi="Calibri"/>
          <w:sz w:val="20"/>
          <w:szCs w:val="20"/>
        </w:rPr>
        <w:t xml:space="preserve"> </w:t>
      </w:r>
    </w:p>
    <w:p w14:paraId="31958F62" w14:textId="77777777" w:rsidR="00241535" w:rsidRPr="00564DA9" w:rsidRDefault="00241535" w:rsidP="00695F10">
      <w:pPr>
        <w:widowControl w:val="0"/>
        <w:autoSpaceDE w:val="0"/>
        <w:autoSpaceDN w:val="0"/>
        <w:adjustRightInd w:val="0"/>
        <w:rPr>
          <w:rFonts w:ascii="Calibri" w:hAnsi="Calibri"/>
          <w:sz w:val="20"/>
          <w:szCs w:val="20"/>
        </w:rPr>
      </w:pPr>
    </w:p>
  </w:footnote>
  <w:footnote w:id="3">
    <w:p w14:paraId="51AA624A" w14:textId="77777777" w:rsidR="00241535" w:rsidRPr="00B94AEE" w:rsidRDefault="00241535" w:rsidP="00695F10">
      <w:pPr>
        <w:widowControl w:val="0"/>
        <w:autoSpaceDE w:val="0"/>
        <w:autoSpaceDN w:val="0"/>
        <w:adjustRightInd w:val="0"/>
        <w:rPr>
          <w:rFonts w:ascii="Calibri" w:hAnsi="Calibri"/>
          <w:sz w:val="20"/>
          <w:szCs w:val="20"/>
        </w:rPr>
      </w:pPr>
      <w:r w:rsidRPr="00564DA9">
        <w:rPr>
          <w:rStyle w:val="FootnoteReference"/>
          <w:rFonts w:ascii="Calibri" w:hAnsi="Calibri"/>
          <w:szCs w:val="20"/>
        </w:rPr>
        <w:footnoteRef/>
      </w:r>
      <w:r w:rsidRPr="00564DA9">
        <w:rPr>
          <w:rFonts w:ascii="Calibri" w:hAnsi="Calibri"/>
          <w:szCs w:val="20"/>
        </w:rPr>
        <w:t xml:space="preserve"> </w:t>
      </w:r>
      <w:proofErr w:type="gramStart"/>
      <w:r>
        <w:rPr>
          <w:rFonts w:ascii="Calibri" w:hAnsi="Calibri"/>
          <w:bCs/>
          <w:sz w:val="20"/>
          <w:szCs w:val="20"/>
        </w:rPr>
        <w:t xml:space="preserve">White Paper </w:t>
      </w:r>
      <w:r w:rsidRPr="00B94AEE">
        <w:rPr>
          <w:rFonts w:ascii="Calibri" w:hAnsi="Calibri"/>
          <w:bCs/>
          <w:sz w:val="20"/>
          <w:szCs w:val="20"/>
        </w:rPr>
        <w:t xml:space="preserve">at </w:t>
      </w:r>
      <w:r w:rsidRPr="00B94AEE">
        <w:rPr>
          <w:rFonts w:ascii="Calibri" w:hAnsi="Calibri"/>
          <w:sz w:val="20"/>
          <w:szCs w:val="20"/>
        </w:rPr>
        <w:t>24</w:t>
      </w:r>
      <w:r>
        <w:rPr>
          <w:rFonts w:ascii="Calibri" w:hAnsi="Calibri"/>
          <w:sz w:val="20"/>
          <w:szCs w:val="20"/>
        </w:rPr>
        <w:t>.</w:t>
      </w:r>
      <w:proofErr w:type="gramEnd"/>
    </w:p>
    <w:p w14:paraId="108999DC" w14:textId="77777777" w:rsidR="00241535" w:rsidRPr="00564DA9" w:rsidRDefault="00241535" w:rsidP="00695F10">
      <w:pPr>
        <w:pStyle w:val="FootnoteText"/>
        <w:rPr>
          <w:rFonts w:ascii="Calibri" w:hAnsi="Calibri"/>
          <w:szCs w:val="20"/>
        </w:rPr>
      </w:pPr>
    </w:p>
  </w:footnote>
  <w:footnote w:id="4">
    <w:p w14:paraId="09E052C2" w14:textId="77777777" w:rsidR="00241535" w:rsidRDefault="00241535" w:rsidP="00695F10">
      <w:pPr>
        <w:pStyle w:val="FootnoteText"/>
        <w:rPr>
          <w:rFonts w:ascii="Calibri" w:hAnsi="Calibri"/>
          <w:szCs w:val="20"/>
        </w:rPr>
      </w:pPr>
      <w:r w:rsidRPr="00564DA9">
        <w:rPr>
          <w:rStyle w:val="FootnoteReference"/>
          <w:rFonts w:ascii="Calibri" w:hAnsi="Calibri"/>
          <w:szCs w:val="20"/>
        </w:rPr>
        <w:footnoteRef/>
      </w:r>
      <w:r w:rsidRPr="00564DA9">
        <w:rPr>
          <w:rFonts w:ascii="Calibri" w:hAnsi="Calibri"/>
          <w:szCs w:val="20"/>
        </w:rPr>
        <w:t xml:space="preserve"> </w:t>
      </w:r>
      <w:r w:rsidRPr="00576BA1">
        <w:rPr>
          <w:rFonts w:ascii="Calibri" w:hAnsi="Calibri"/>
          <w:i/>
          <w:szCs w:val="20"/>
        </w:rPr>
        <w:t xml:space="preserve">Id. </w:t>
      </w:r>
      <w:r>
        <w:rPr>
          <w:rFonts w:ascii="Calibri" w:hAnsi="Calibri"/>
          <w:szCs w:val="20"/>
        </w:rPr>
        <w:t xml:space="preserve">at </w:t>
      </w:r>
      <w:r w:rsidRPr="00564DA9">
        <w:rPr>
          <w:rFonts w:ascii="Calibri" w:hAnsi="Calibri"/>
          <w:szCs w:val="20"/>
        </w:rPr>
        <w:t xml:space="preserve">35, note 43. </w:t>
      </w:r>
    </w:p>
    <w:p w14:paraId="7DD39B0A" w14:textId="77777777" w:rsidR="00241535" w:rsidRPr="00564DA9" w:rsidRDefault="00241535" w:rsidP="00695F10">
      <w:pPr>
        <w:pStyle w:val="FootnoteText"/>
        <w:rPr>
          <w:rFonts w:ascii="Calibri" w:hAnsi="Calibri"/>
          <w:szCs w:val="20"/>
        </w:rPr>
      </w:pPr>
    </w:p>
  </w:footnote>
  <w:footnote w:id="5">
    <w:p w14:paraId="39EFC22C" w14:textId="77777777" w:rsidR="00241535" w:rsidRDefault="00241535" w:rsidP="00695F10">
      <w:pPr>
        <w:pStyle w:val="FootnoteText"/>
        <w:rPr>
          <w:rFonts w:ascii="Calibri" w:hAnsi="Calibri"/>
          <w:bCs/>
          <w:szCs w:val="20"/>
        </w:rPr>
      </w:pPr>
      <w:r w:rsidRPr="00564DA9">
        <w:rPr>
          <w:rStyle w:val="FootnoteReference"/>
          <w:rFonts w:ascii="Calibri" w:hAnsi="Calibri"/>
          <w:szCs w:val="20"/>
        </w:rPr>
        <w:footnoteRef/>
      </w:r>
      <w:r w:rsidRPr="00564DA9">
        <w:rPr>
          <w:rFonts w:ascii="Calibri" w:hAnsi="Calibri"/>
          <w:szCs w:val="20"/>
        </w:rPr>
        <w:t xml:space="preserve"> </w:t>
      </w:r>
      <w:proofErr w:type="gramStart"/>
      <w:r w:rsidRPr="00576BA1">
        <w:rPr>
          <w:rFonts w:ascii="Calibri" w:hAnsi="Calibri"/>
          <w:i/>
          <w:szCs w:val="20"/>
        </w:rPr>
        <w:t>Id.</w:t>
      </w:r>
      <w:r>
        <w:rPr>
          <w:rFonts w:ascii="Calibri" w:hAnsi="Calibri"/>
          <w:szCs w:val="20"/>
        </w:rPr>
        <w:t xml:space="preserve"> at</w:t>
      </w:r>
      <w:r w:rsidRPr="00564DA9">
        <w:rPr>
          <w:rFonts w:ascii="Calibri" w:hAnsi="Calibri"/>
          <w:bCs/>
          <w:szCs w:val="20"/>
        </w:rPr>
        <w:t xml:space="preserve"> 37.</w:t>
      </w:r>
      <w:proofErr w:type="gramEnd"/>
    </w:p>
    <w:p w14:paraId="3DF8EF6C" w14:textId="77777777" w:rsidR="00241535" w:rsidRPr="00564DA9" w:rsidRDefault="00241535" w:rsidP="00695F10">
      <w:pPr>
        <w:pStyle w:val="FootnoteText"/>
        <w:rPr>
          <w:rFonts w:ascii="Calibri" w:hAnsi="Calibri"/>
          <w:szCs w:val="20"/>
        </w:rPr>
      </w:pPr>
    </w:p>
  </w:footnote>
  <w:footnote w:id="6">
    <w:p w14:paraId="1205C91F" w14:textId="77777777" w:rsidR="00241535" w:rsidRDefault="00241535">
      <w:pPr>
        <w:pStyle w:val="FootnoteText"/>
      </w:pPr>
      <w:r>
        <w:rPr>
          <w:rStyle w:val="FootnoteReference"/>
        </w:rPr>
        <w:footnoteRef/>
      </w:r>
      <w:r>
        <w:t xml:space="preserve"> It would be useful for the FTC to conduct a study of how well existing voluntary codes comply with the new CPBR.</w:t>
      </w:r>
    </w:p>
    <w:p w14:paraId="0301574C" w14:textId="77777777" w:rsidR="00241535" w:rsidRDefault="00241535">
      <w:pPr>
        <w:pStyle w:val="FootnoteText"/>
      </w:pPr>
    </w:p>
  </w:footnote>
  <w:footnote w:id="7">
    <w:p w14:paraId="58BFBB5D" w14:textId="0C5476E1" w:rsidR="00241535" w:rsidRPr="00241535" w:rsidRDefault="00241535" w:rsidP="007D52CD">
      <w:pPr>
        <w:widowControl w:val="0"/>
        <w:autoSpaceDE w:val="0"/>
        <w:autoSpaceDN w:val="0"/>
        <w:adjustRightInd w:val="0"/>
      </w:pPr>
      <w:r w:rsidRPr="007D52CD">
        <w:rPr>
          <w:rStyle w:val="FootnoteReference"/>
          <w:rFonts w:ascii="Calibri" w:hAnsi="Calibri"/>
          <w:sz w:val="20"/>
          <w:szCs w:val="20"/>
        </w:rPr>
        <w:footnoteRef/>
      </w:r>
      <w:r w:rsidRPr="007D52CD">
        <w:rPr>
          <w:rFonts w:ascii="Calibri" w:hAnsi="Calibri"/>
          <w:sz w:val="20"/>
          <w:szCs w:val="20"/>
        </w:rPr>
        <w:t xml:space="preserve"> </w:t>
      </w:r>
      <w:r w:rsidRPr="007D52CD">
        <w:rPr>
          <w:rFonts w:ascii="Calibri" w:hAnsi="Calibri"/>
          <w:i/>
          <w:sz w:val="20"/>
          <w:szCs w:val="20"/>
        </w:rPr>
        <w:t>See, e.g.,</w:t>
      </w:r>
      <w:r w:rsidRPr="007D52CD">
        <w:rPr>
          <w:rFonts w:ascii="Calibri" w:hAnsi="Calibri"/>
          <w:sz w:val="20"/>
          <w:szCs w:val="20"/>
        </w:rPr>
        <w:t xml:space="preserve"> </w:t>
      </w:r>
      <w:r w:rsidR="007D52CD" w:rsidRPr="007D52CD">
        <w:rPr>
          <w:rFonts w:ascii="Calibri" w:hAnsi="Calibri" w:cs="Times New Roman"/>
          <w:bCs/>
          <w:sz w:val="20"/>
          <w:szCs w:val="20"/>
        </w:rPr>
        <w:t>FED. TRADE COMM’N</w:t>
      </w:r>
      <w:r w:rsidR="007D52CD" w:rsidRPr="007D52CD">
        <w:rPr>
          <w:rFonts w:ascii="Calibri" w:hAnsi="Calibri" w:cs="Times New Roman"/>
          <w:bCs/>
          <w:sz w:val="20"/>
          <w:szCs w:val="20"/>
        </w:rPr>
        <w:t xml:space="preserve">, </w:t>
      </w:r>
      <w:r w:rsidR="007D52CD" w:rsidRPr="007D52CD">
        <w:rPr>
          <w:rFonts w:ascii="Calibri" w:hAnsi="Calibri" w:cs="Times New Roman"/>
          <w:bCs/>
          <w:sz w:val="20"/>
          <w:szCs w:val="20"/>
        </w:rPr>
        <w:t>PROTECTING</w:t>
      </w:r>
      <w:r w:rsidR="007D52CD" w:rsidRPr="007D52CD">
        <w:rPr>
          <w:rFonts w:ascii="Calibri" w:hAnsi="Calibri" w:cs="Times New Roman"/>
          <w:bCs/>
          <w:sz w:val="20"/>
          <w:szCs w:val="20"/>
        </w:rPr>
        <w:t xml:space="preserve"> </w:t>
      </w:r>
      <w:r w:rsidR="007D52CD" w:rsidRPr="007D52CD">
        <w:rPr>
          <w:rFonts w:ascii="Calibri" w:hAnsi="Calibri" w:cs="Times New Roman"/>
          <w:bCs/>
          <w:sz w:val="20"/>
          <w:szCs w:val="20"/>
        </w:rPr>
        <w:t xml:space="preserve">CONSUMER PRIVACY IN AN ERA OF RAPID CHANGE </w:t>
      </w:r>
      <w:r w:rsidR="007D52CD" w:rsidRPr="007D52CD">
        <w:rPr>
          <w:rFonts w:ascii="Calibri" w:hAnsi="Calibri" w:cs="Times New Roman"/>
          <w:bCs/>
          <w:sz w:val="20"/>
          <w:szCs w:val="20"/>
        </w:rPr>
        <w:t>14 (2012</w:t>
      </w:r>
      <w:r w:rsidR="007D52CD">
        <w:rPr>
          <w:rFonts w:ascii="Calibri" w:hAnsi="Calibri" w:cs="Times New Roman"/>
          <w:bCs/>
          <w:sz w:val="20"/>
          <w:szCs w:val="20"/>
        </w:rPr>
        <w:t xml:space="preserve">) </w:t>
      </w:r>
      <w:r w:rsidRPr="007D52CD">
        <w:rPr>
          <w:rFonts w:ascii="Calibri" w:hAnsi="Calibri"/>
          <w:sz w:val="20"/>
          <w:szCs w:val="20"/>
        </w:rPr>
        <w:t xml:space="preserve">commenting on the </w:t>
      </w:r>
      <w:r w:rsidR="007D52CD" w:rsidRPr="007D52CD">
        <w:rPr>
          <w:rFonts w:ascii="Calibri" w:hAnsi="Calibri"/>
          <w:sz w:val="20"/>
          <w:szCs w:val="20"/>
        </w:rPr>
        <w:t xml:space="preserve">MSH </w:t>
      </w:r>
      <w:r w:rsidRPr="007D52CD">
        <w:rPr>
          <w:rFonts w:ascii="Calibri" w:hAnsi="Calibri"/>
          <w:sz w:val="20"/>
          <w:szCs w:val="20"/>
        </w:rPr>
        <w:t xml:space="preserve">process for developing codes </w:t>
      </w:r>
      <w:r w:rsidR="007D52CD" w:rsidRPr="007D52CD">
        <w:rPr>
          <w:rFonts w:ascii="Calibri" w:hAnsi="Calibri"/>
          <w:sz w:val="20"/>
          <w:szCs w:val="20"/>
        </w:rPr>
        <w:t xml:space="preserve">of conduct </w:t>
      </w:r>
      <w:r w:rsidRPr="007D52CD">
        <w:rPr>
          <w:rFonts w:ascii="Calibri" w:hAnsi="Calibri"/>
          <w:sz w:val="20"/>
          <w:szCs w:val="20"/>
        </w:rPr>
        <w:t xml:space="preserve">and noting: </w:t>
      </w:r>
      <w:r w:rsidR="007D52CD" w:rsidRPr="007D52CD">
        <w:rPr>
          <w:rFonts w:ascii="Calibri" w:hAnsi="Calibri"/>
          <w:sz w:val="20"/>
          <w:szCs w:val="20"/>
        </w:rPr>
        <w:t>“</w:t>
      </w:r>
      <w:r w:rsidR="007D52CD" w:rsidRPr="007D52CD">
        <w:rPr>
          <w:rFonts w:ascii="Calibri" w:hAnsi="Calibri"/>
          <w:sz w:val="20"/>
          <w:szCs w:val="20"/>
        </w:rPr>
        <w:t>To the extent that strong privacy codes are developed, the Commission will view adherence to such codes favorably in connection with its law enforcement work. The Commission will also continue to enforce the FTC Act to take action against companies that engage in unfair or deceptive practices, including the failure to abide by self-regulatory programs they join</w:t>
      </w:r>
      <w:r w:rsidR="007D52CD">
        <w:rPr>
          <w:rFonts w:ascii="Calibri" w:hAnsi="Calibri"/>
          <w:sz w:val="20"/>
          <w:szCs w:val="20"/>
        </w:rPr>
        <w:t>”)</w:t>
      </w:r>
      <w:r w:rsidR="007D52CD" w:rsidRPr="007D52CD">
        <w:rPr>
          <w:rFonts w:ascii="Calibri" w:hAnsi="Calibri"/>
          <w:sz w:val="20"/>
          <w:szCs w:val="20"/>
        </w:rPr>
        <w:t xml:space="preserve">. </w:t>
      </w:r>
      <w:bookmarkStart w:id="0" w:name="_GoBack"/>
      <w:bookmarkEnd w:id="0"/>
    </w:p>
    <w:p w14:paraId="3F48B2C8" w14:textId="77777777" w:rsidR="00241535" w:rsidRDefault="00241535">
      <w:pPr>
        <w:pStyle w:val="FootnoteText"/>
      </w:pPr>
    </w:p>
  </w:footnote>
  <w:footnote w:id="8">
    <w:p w14:paraId="657EB874" w14:textId="18E5368D" w:rsidR="00241535" w:rsidRDefault="00241535" w:rsidP="00695F10">
      <w:pPr>
        <w:pStyle w:val="FootnoteText"/>
      </w:pPr>
      <w:r>
        <w:rPr>
          <w:rStyle w:val="FootnoteReference"/>
        </w:rPr>
        <w:footnoteRef/>
      </w:r>
      <w:r>
        <w:t xml:space="preserve"> </w:t>
      </w:r>
      <w:r w:rsidRPr="00576BA1">
        <w:rPr>
          <w:i/>
        </w:rPr>
        <w:t>See</w:t>
      </w:r>
      <w:r>
        <w:t xml:space="preserve"> Lisa J. Sotto, </w:t>
      </w:r>
      <w:r w:rsidRPr="00576BA1">
        <w:rPr>
          <w:smallCaps/>
          <w:szCs w:val="20"/>
        </w:rPr>
        <w:t>Privacy and Data Security Law Desk</w:t>
      </w:r>
      <w:r>
        <w:rPr>
          <w:smallCaps/>
          <w:szCs w:val="20"/>
        </w:rPr>
        <w:t xml:space="preserve"> </w:t>
      </w:r>
      <w:r w:rsidRPr="00576BA1">
        <w:rPr>
          <w:smallCaps/>
          <w:szCs w:val="20"/>
        </w:rPr>
        <w:t>book</w:t>
      </w:r>
      <w:r>
        <w:t xml:space="preserve"> Ch. 16 (2011)(describing enforcement actions involving misrepresentation and inadequate security).</w:t>
      </w:r>
    </w:p>
    <w:p w14:paraId="49771CAC" w14:textId="77777777" w:rsidR="00241535" w:rsidRDefault="00241535" w:rsidP="00695F10">
      <w:pPr>
        <w:pStyle w:val="FootnoteText"/>
      </w:pPr>
    </w:p>
  </w:footnote>
  <w:footnote w:id="9">
    <w:p w14:paraId="7993DDDA" w14:textId="326B2105" w:rsidR="00241535" w:rsidRDefault="00241535" w:rsidP="00695F10">
      <w:pPr>
        <w:widowControl w:val="0"/>
        <w:autoSpaceDE w:val="0"/>
        <w:autoSpaceDN w:val="0"/>
        <w:adjustRightInd w:val="0"/>
        <w:rPr>
          <w:rFonts w:ascii="Calibri" w:hAnsi="Calibri" w:cs="Times New Roman"/>
          <w:sz w:val="20"/>
          <w:szCs w:val="20"/>
        </w:rPr>
      </w:pPr>
      <w:r w:rsidRPr="005F4A95">
        <w:rPr>
          <w:rStyle w:val="FootnoteReference"/>
          <w:rFonts w:ascii="Calibri" w:hAnsi="Calibri"/>
          <w:sz w:val="20"/>
          <w:szCs w:val="20"/>
        </w:rPr>
        <w:footnoteRef/>
      </w:r>
      <w:r w:rsidRPr="005F4A95">
        <w:rPr>
          <w:rFonts w:ascii="Calibri" w:hAnsi="Calibri"/>
          <w:sz w:val="20"/>
          <w:szCs w:val="20"/>
        </w:rPr>
        <w:t xml:space="preserve"> </w:t>
      </w:r>
      <w:r w:rsidRPr="00576BA1">
        <w:rPr>
          <w:rFonts w:ascii="Calibri" w:hAnsi="Calibri"/>
          <w:i/>
          <w:sz w:val="20"/>
          <w:szCs w:val="20"/>
        </w:rPr>
        <w:t xml:space="preserve">See </w:t>
      </w:r>
      <w:r w:rsidRPr="005F4A95">
        <w:rPr>
          <w:rFonts w:ascii="Calibri" w:hAnsi="Calibri"/>
          <w:sz w:val="20"/>
          <w:szCs w:val="20"/>
        </w:rPr>
        <w:t xml:space="preserve">Andrew </w:t>
      </w:r>
      <w:r>
        <w:rPr>
          <w:rFonts w:ascii="Calibri" w:hAnsi="Calibri"/>
          <w:sz w:val="20"/>
          <w:szCs w:val="20"/>
        </w:rPr>
        <w:t xml:space="preserve">B. </w:t>
      </w:r>
      <w:proofErr w:type="spellStart"/>
      <w:r w:rsidRPr="005F4A95">
        <w:rPr>
          <w:rFonts w:ascii="Calibri" w:hAnsi="Calibri"/>
          <w:sz w:val="20"/>
          <w:szCs w:val="20"/>
        </w:rPr>
        <w:t>Serwin</w:t>
      </w:r>
      <w:proofErr w:type="spellEnd"/>
      <w:r w:rsidRPr="005F4A95">
        <w:rPr>
          <w:rFonts w:ascii="Calibri" w:hAnsi="Calibri"/>
          <w:sz w:val="20"/>
          <w:szCs w:val="20"/>
        </w:rPr>
        <w:t xml:space="preserve">, </w:t>
      </w:r>
      <w:r w:rsidRPr="00576BA1">
        <w:rPr>
          <w:rFonts w:ascii="Calibri" w:hAnsi="Calibri" w:cs="Times New Roman"/>
          <w:i/>
          <w:sz w:val="20"/>
          <w:szCs w:val="20"/>
        </w:rPr>
        <w:t>The Federal Trade Commission and Privacy: Defining Enforcement and Encouraging the Adoption of Best Practices</w:t>
      </w:r>
      <w:r>
        <w:rPr>
          <w:rFonts w:ascii="Calibri" w:hAnsi="Calibri" w:cs="Times New Roman"/>
          <w:sz w:val="20"/>
          <w:szCs w:val="20"/>
        </w:rPr>
        <w:t xml:space="preserve"> (2011), </w:t>
      </w:r>
      <w:r w:rsidRPr="00576BA1">
        <w:rPr>
          <w:rFonts w:ascii="Calibri" w:hAnsi="Calibri" w:cs="Times New Roman"/>
          <w:i/>
          <w:sz w:val="20"/>
          <w:szCs w:val="20"/>
        </w:rPr>
        <w:t>available at</w:t>
      </w:r>
      <w:r>
        <w:rPr>
          <w:rFonts w:ascii="Calibri" w:hAnsi="Calibri" w:cs="Times New Roman"/>
          <w:sz w:val="20"/>
          <w:szCs w:val="20"/>
        </w:rPr>
        <w:t xml:space="preserve"> </w:t>
      </w:r>
      <w:hyperlink r:id="rId1" w:history="1">
        <w:r w:rsidRPr="00A735C8">
          <w:rPr>
            <w:rStyle w:val="Hyperlink"/>
            <w:rFonts w:ascii="Calibri" w:hAnsi="Calibri" w:cs="Times New Roman"/>
            <w:sz w:val="20"/>
            <w:szCs w:val="20"/>
          </w:rPr>
          <w:t>http://works.bepress.com/cgi/viewcontent.cgi?article=1002&amp;context=andrew_serwin</w:t>
        </w:r>
      </w:hyperlink>
      <w:r>
        <w:rPr>
          <w:rFonts w:ascii="Calibri" w:hAnsi="Calibri" w:cs="Times New Roman"/>
          <w:sz w:val="20"/>
          <w:szCs w:val="20"/>
        </w:rPr>
        <w:t xml:space="preserve"> (</w:t>
      </w:r>
      <w:r w:rsidRPr="005F4A95">
        <w:rPr>
          <w:rFonts w:ascii="Calibri" w:hAnsi="Calibri"/>
          <w:sz w:val="20"/>
          <w:szCs w:val="20"/>
        </w:rPr>
        <w:t>describing an historical progression from “a traditional deception model” (</w:t>
      </w:r>
      <w:r>
        <w:rPr>
          <w:rFonts w:ascii="Calibri" w:hAnsi="Calibri"/>
          <w:sz w:val="20"/>
          <w:szCs w:val="20"/>
        </w:rPr>
        <w:t xml:space="preserve">e.g., </w:t>
      </w:r>
      <w:r w:rsidRPr="005F4A95">
        <w:rPr>
          <w:rFonts w:ascii="Calibri" w:hAnsi="Calibri"/>
          <w:sz w:val="20"/>
          <w:szCs w:val="20"/>
        </w:rPr>
        <w:t xml:space="preserve">In the Matter of </w:t>
      </w:r>
      <w:proofErr w:type="spellStart"/>
      <w:r w:rsidRPr="005F4A95">
        <w:rPr>
          <w:rFonts w:ascii="Calibri" w:hAnsi="Calibri"/>
          <w:sz w:val="20"/>
          <w:szCs w:val="20"/>
        </w:rPr>
        <w:t>GeoCities</w:t>
      </w:r>
      <w:proofErr w:type="spellEnd"/>
      <w:r w:rsidRPr="005F4A95">
        <w:rPr>
          <w:rFonts w:ascii="Calibri" w:hAnsi="Calibri"/>
          <w:sz w:val="20"/>
          <w:szCs w:val="20"/>
        </w:rPr>
        <w:t>); to “an appearance of unfairness” (</w:t>
      </w:r>
      <w:r>
        <w:rPr>
          <w:rFonts w:ascii="Calibri" w:hAnsi="Calibri"/>
          <w:sz w:val="20"/>
          <w:szCs w:val="20"/>
        </w:rPr>
        <w:t xml:space="preserve">e.g., </w:t>
      </w:r>
      <w:r w:rsidRPr="005F4A95">
        <w:rPr>
          <w:rFonts w:ascii="Calibri" w:hAnsi="Calibri"/>
          <w:sz w:val="20"/>
          <w:szCs w:val="20"/>
        </w:rPr>
        <w:t xml:space="preserve">In the Matter of ReveseAuction.com, Inc.); to “voluntary assumption of heightened burdens” </w:t>
      </w:r>
      <w:r>
        <w:rPr>
          <w:rFonts w:ascii="Calibri" w:hAnsi="Calibri"/>
          <w:sz w:val="20"/>
          <w:szCs w:val="20"/>
        </w:rPr>
        <w:t xml:space="preserve">(e.g., </w:t>
      </w:r>
      <w:r w:rsidRPr="005F4A95">
        <w:rPr>
          <w:rFonts w:ascii="Calibri" w:hAnsi="Calibri"/>
          <w:sz w:val="20"/>
          <w:szCs w:val="20"/>
        </w:rPr>
        <w:t xml:space="preserve">In the Matter of Eli Lily and In the Matter of Microsoft); to </w:t>
      </w:r>
      <w:r>
        <w:rPr>
          <w:rFonts w:ascii="Calibri" w:hAnsi="Calibri" w:cs="Times New Roman"/>
          <w:sz w:val="20"/>
          <w:szCs w:val="20"/>
        </w:rPr>
        <w:t xml:space="preserve">cases in which lack of a “reasonable” level of security is deemed “unfair” even in the absence of </w:t>
      </w:r>
      <w:r w:rsidRPr="003952D8">
        <w:rPr>
          <w:rFonts w:ascii="Calibri" w:hAnsi="Calibri" w:cs="Times New Roman"/>
          <w:sz w:val="20"/>
          <w:szCs w:val="20"/>
        </w:rPr>
        <w:t>deceptive</w:t>
      </w:r>
      <w:r>
        <w:rPr>
          <w:rFonts w:ascii="Calibri" w:hAnsi="Calibri" w:cs="Times New Roman"/>
          <w:sz w:val="20"/>
          <w:szCs w:val="20"/>
        </w:rPr>
        <w:t xml:space="preserve"> statements (e.g., In the Matter of BJ’s Wholesale)). </w:t>
      </w:r>
      <w:r w:rsidRPr="00576BA1">
        <w:rPr>
          <w:rFonts w:ascii="Calibri" w:hAnsi="Calibri" w:cs="Times New Roman"/>
          <w:i/>
          <w:sz w:val="20"/>
          <w:szCs w:val="20"/>
        </w:rPr>
        <w:t>See</w:t>
      </w:r>
      <w:r>
        <w:rPr>
          <w:rFonts w:ascii="Calibri" w:hAnsi="Calibri" w:cs="Times New Roman"/>
          <w:sz w:val="20"/>
          <w:szCs w:val="20"/>
        </w:rPr>
        <w:t xml:space="preserve"> also </w:t>
      </w:r>
      <w:r w:rsidRPr="008823FB">
        <w:rPr>
          <w:rStyle w:val="st"/>
          <w:rFonts w:ascii="Calibri" w:eastAsia="Times New Roman" w:hAnsi="Calibri" w:cs="Times New Roman"/>
          <w:sz w:val="20"/>
          <w:szCs w:val="20"/>
        </w:rPr>
        <w:t>Kenneth A.</w:t>
      </w:r>
      <w:r w:rsidRPr="008823FB">
        <w:rPr>
          <w:rStyle w:val="st"/>
          <w:rFonts w:ascii="Calibri" w:eastAsia="Times New Roman" w:hAnsi="Calibri" w:cs="Times New Roman"/>
          <w:i/>
          <w:sz w:val="20"/>
          <w:szCs w:val="20"/>
        </w:rPr>
        <w:t xml:space="preserve"> </w:t>
      </w:r>
      <w:r w:rsidRPr="008823FB">
        <w:rPr>
          <w:rStyle w:val="Emphasis"/>
          <w:rFonts w:ascii="Calibri" w:eastAsia="Times New Roman" w:hAnsi="Calibri" w:cs="Times New Roman"/>
          <w:i w:val="0"/>
          <w:sz w:val="20"/>
          <w:szCs w:val="20"/>
        </w:rPr>
        <w:t>Bamberger</w:t>
      </w:r>
      <w:r w:rsidRPr="008823FB">
        <w:rPr>
          <w:rStyle w:val="st"/>
          <w:rFonts w:ascii="Calibri" w:eastAsia="Times New Roman" w:hAnsi="Calibri" w:cs="Times New Roman"/>
          <w:i/>
          <w:sz w:val="20"/>
          <w:szCs w:val="20"/>
        </w:rPr>
        <w:t xml:space="preserve"> </w:t>
      </w:r>
      <w:r w:rsidRPr="008823FB">
        <w:rPr>
          <w:rStyle w:val="st"/>
          <w:rFonts w:ascii="Calibri" w:eastAsia="Times New Roman" w:hAnsi="Calibri" w:cs="Times New Roman"/>
          <w:sz w:val="20"/>
          <w:szCs w:val="20"/>
        </w:rPr>
        <w:t>and Deirdre K</w:t>
      </w:r>
      <w:r w:rsidRPr="008823FB">
        <w:rPr>
          <w:rStyle w:val="st"/>
          <w:rFonts w:ascii="Calibri" w:eastAsia="Times New Roman" w:hAnsi="Calibri" w:cs="Times New Roman"/>
          <w:i/>
          <w:sz w:val="20"/>
          <w:szCs w:val="20"/>
        </w:rPr>
        <w:t xml:space="preserve">. </w:t>
      </w:r>
      <w:r w:rsidRPr="008823FB">
        <w:rPr>
          <w:rStyle w:val="Emphasis"/>
          <w:rFonts w:ascii="Calibri" w:eastAsia="Times New Roman" w:hAnsi="Calibri" w:cs="Times New Roman"/>
          <w:i w:val="0"/>
          <w:sz w:val="20"/>
          <w:szCs w:val="20"/>
        </w:rPr>
        <w:t>Mulligan,</w:t>
      </w:r>
      <w:r w:rsidRPr="008823FB">
        <w:rPr>
          <w:rStyle w:val="st"/>
          <w:rFonts w:ascii="Calibri" w:eastAsia="Times New Roman" w:hAnsi="Calibri" w:cs="Times New Roman"/>
          <w:i/>
          <w:sz w:val="20"/>
          <w:szCs w:val="20"/>
        </w:rPr>
        <w:t xml:space="preserve"> </w:t>
      </w:r>
      <w:r w:rsidRPr="00576BA1">
        <w:rPr>
          <w:rStyle w:val="st"/>
          <w:rFonts w:ascii="Calibri" w:eastAsia="Times New Roman" w:hAnsi="Calibri" w:cs="Times New Roman"/>
          <w:i/>
          <w:sz w:val="20"/>
          <w:szCs w:val="20"/>
        </w:rPr>
        <w:t>Privacy on the Books and on the</w:t>
      </w:r>
      <w:r w:rsidRPr="003B613E">
        <w:rPr>
          <w:rStyle w:val="st"/>
          <w:rFonts w:ascii="Calibri" w:eastAsia="Times New Roman" w:hAnsi="Calibri" w:cs="Times New Roman"/>
          <w:i/>
          <w:sz w:val="20"/>
          <w:szCs w:val="20"/>
        </w:rPr>
        <w:t xml:space="preserve"> </w:t>
      </w:r>
      <w:r w:rsidRPr="003B613E">
        <w:rPr>
          <w:rStyle w:val="Emphasis"/>
          <w:rFonts w:ascii="Calibri" w:eastAsia="Times New Roman" w:hAnsi="Calibri" w:cs="Times New Roman"/>
          <w:i w:val="0"/>
          <w:sz w:val="20"/>
          <w:szCs w:val="20"/>
        </w:rPr>
        <w:t>Ground</w:t>
      </w:r>
      <w:r w:rsidRPr="008823FB">
        <w:rPr>
          <w:rStyle w:val="Emphasis"/>
          <w:rFonts w:ascii="Calibri" w:eastAsia="Times New Roman" w:hAnsi="Calibri" w:cs="Times New Roman"/>
          <w:i w:val="0"/>
          <w:sz w:val="20"/>
          <w:szCs w:val="20"/>
        </w:rPr>
        <w:t xml:space="preserve">, 63 </w:t>
      </w:r>
      <w:r w:rsidRPr="00576BA1">
        <w:rPr>
          <w:rStyle w:val="Emphasis"/>
          <w:rFonts w:ascii="Calibri" w:eastAsia="Times New Roman" w:hAnsi="Calibri" w:cs="Times New Roman"/>
          <w:i w:val="0"/>
          <w:iCs w:val="0"/>
          <w:smallCaps/>
          <w:sz w:val="20"/>
          <w:szCs w:val="20"/>
        </w:rPr>
        <w:t>Stan. L. Rev</w:t>
      </w:r>
      <w:r w:rsidRPr="008823FB">
        <w:rPr>
          <w:rStyle w:val="Emphasis"/>
          <w:rFonts w:ascii="Calibri" w:eastAsia="Times New Roman" w:hAnsi="Calibri" w:cs="Times New Roman"/>
          <w:i w:val="0"/>
          <w:sz w:val="20"/>
          <w:szCs w:val="20"/>
        </w:rPr>
        <w:t xml:space="preserve">. </w:t>
      </w:r>
      <w:r>
        <w:rPr>
          <w:rStyle w:val="Emphasis"/>
          <w:rFonts w:ascii="Calibri" w:eastAsia="Times New Roman" w:hAnsi="Calibri" w:cs="Times New Roman"/>
          <w:i w:val="0"/>
          <w:sz w:val="20"/>
          <w:szCs w:val="20"/>
        </w:rPr>
        <w:t>247, 290 (</w:t>
      </w:r>
      <w:r w:rsidRPr="00D850C4">
        <w:rPr>
          <w:rStyle w:val="st"/>
          <w:rFonts w:ascii="Calibri" w:eastAsia="Times New Roman" w:hAnsi="Calibri" w:cs="Times New Roman"/>
          <w:sz w:val="20"/>
          <w:szCs w:val="20"/>
        </w:rPr>
        <w:t>2011)</w:t>
      </w:r>
      <w:r>
        <w:rPr>
          <w:rStyle w:val="st"/>
          <w:rFonts w:ascii="Calibri" w:eastAsia="Times New Roman" w:hAnsi="Calibri" w:cs="Times New Roman"/>
          <w:sz w:val="20"/>
          <w:szCs w:val="20"/>
        </w:rPr>
        <w:t xml:space="preserve">(describing a similar progression). They conclude that in its more recent efforts to address spyware and data breaches, the FTC employed new legal standards that “were far more ambiguous, evolving and context-dependent” than what came before. The most recent case along these lines is </w:t>
      </w:r>
      <w:r w:rsidRPr="008F7E62">
        <w:rPr>
          <w:rStyle w:val="Emphasis"/>
          <w:rFonts w:ascii="Calibri" w:eastAsia="Times New Roman" w:hAnsi="Calibri" w:cs="Times New Roman"/>
          <w:i w:val="0"/>
          <w:sz w:val="20"/>
          <w:szCs w:val="20"/>
        </w:rPr>
        <w:t>F</w:t>
      </w:r>
      <w:r>
        <w:rPr>
          <w:rStyle w:val="Emphasis"/>
          <w:rFonts w:ascii="Calibri" w:eastAsia="Times New Roman" w:hAnsi="Calibri" w:cs="Times New Roman"/>
          <w:i w:val="0"/>
          <w:sz w:val="20"/>
          <w:szCs w:val="20"/>
        </w:rPr>
        <w:t>TC</w:t>
      </w:r>
      <w:r w:rsidRPr="008F7E62">
        <w:rPr>
          <w:rStyle w:val="Emphasis"/>
          <w:rFonts w:ascii="Calibri" w:eastAsia="Times New Roman" w:hAnsi="Calibri" w:cs="Times New Roman"/>
          <w:i w:val="0"/>
          <w:sz w:val="20"/>
          <w:szCs w:val="20"/>
        </w:rPr>
        <w:t xml:space="preserve"> v</w:t>
      </w:r>
      <w:r w:rsidRPr="008F7E62">
        <w:rPr>
          <w:rStyle w:val="st"/>
          <w:rFonts w:ascii="Calibri" w:eastAsia="Times New Roman" w:hAnsi="Calibri" w:cs="Times New Roman"/>
          <w:i/>
          <w:sz w:val="20"/>
          <w:szCs w:val="20"/>
        </w:rPr>
        <w:t xml:space="preserve">. </w:t>
      </w:r>
      <w:proofErr w:type="spellStart"/>
      <w:r w:rsidRPr="008F7E62">
        <w:rPr>
          <w:rStyle w:val="Emphasis"/>
          <w:rFonts w:ascii="Calibri" w:eastAsia="Times New Roman" w:hAnsi="Calibri" w:cs="Times New Roman"/>
          <w:i w:val="0"/>
          <w:sz w:val="20"/>
          <w:szCs w:val="20"/>
        </w:rPr>
        <w:t>Frostwire</w:t>
      </w:r>
      <w:proofErr w:type="spellEnd"/>
      <w:r w:rsidRPr="008F7E62">
        <w:rPr>
          <w:rStyle w:val="st"/>
          <w:rFonts w:ascii="Calibri" w:eastAsia="Times New Roman" w:hAnsi="Calibri" w:cs="Times New Roman"/>
          <w:i/>
          <w:sz w:val="20"/>
          <w:szCs w:val="20"/>
        </w:rPr>
        <w:t xml:space="preserve"> </w:t>
      </w:r>
      <w:r w:rsidRPr="008F7E62">
        <w:rPr>
          <w:rStyle w:val="st"/>
          <w:rFonts w:ascii="Calibri" w:eastAsia="Times New Roman" w:hAnsi="Calibri" w:cs="Times New Roman"/>
          <w:sz w:val="20"/>
          <w:szCs w:val="20"/>
        </w:rPr>
        <w:t>LLC, No. 11-cv-23643 (S.D. Fla.</w:t>
      </w:r>
      <w:r>
        <w:rPr>
          <w:rStyle w:val="st"/>
          <w:rFonts w:ascii="Calibri" w:eastAsia="Times New Roman" w:hAnsi="Calibri" w:cs="Times New Roman"/>
          <w:sz w:val="20"/>
          <w:szCs w:val="20"/>
        </w:rPr>
        <w:t xml:space="preserve"> 2011</w:t>
      </w:r>
      <w:r w:rsidRPr="008F7E62">
        <w:rPr>
          <w:rStyle w:val="st"/>
          <w:rFonts w:ascii="Calibri" w:eastAsia="Times New Roman" w:hAnsi="Calibri" w:cs="Times New Roman"/>
          <w:sz w:val="20"/>
          <w:szCs w:val="20"/>
        </w:rPr>
        <w:t>)</w:t>
      </w:r>
      <w:r>
        <w:rPr>
          <w:rStyle w:val="st"/>
          <w:rFonts w:ascii="Calibri" w:eastAsia="Times New Roman" w:hAnsi="Calibri" w:cs="Times New Roman"/>
          <w:sz w:val="20"/>
          <w:szCs w:val="20"/>
        </w:rPr>
        <w:t xml:space="preserve">, in which the FTC alleged that it constituted an “unfair design” for a peer-to-peer file sharing service to configure its Android application so that upon installation, pre-existing files on the device were designated for sharing by default. For a preliminary description of best practices in design based on recent FTC enforcement cases, </w:t>
      </w:r>
      <w:r w:rsidRPr="00576BA1">
        <w:rPr>
          <w:rStyle w:val="st"/>
          <w:rFonts w:ascii="Calibri" w:eastAsia="Times New Roman" w:hAnsi="Calibri" w:cs="Times New Roman"/>
          <w:i/>
          <w:sz w:val="20"/>
          <w:szCs w:val="20"/>
        </w:rPr>
        <w:t>s</w:t>
      </w:r>
      <w:r w:rsidRPr="00576BA1">
        <w:rPr>
          <w:rFonts w:ascii="Calibri" w:hAnsi="Calibri" w:cs="Times New Roman"/>
          <w:i/>
          <w:sz w:val="20"/>
          <w:szCs w:val="20"/>
        </w:rPr>
        <w:t>ee also</w:t>
      </w:r>
      <w:r w:rsidRPr="00513DE9">
        <w:rPr>
          <w:rFonts w:ascii="Calibri" w:hAnsi="Calibri" w:cs="Times New Roman"/>
          <w:sz w:val="20"/>
          <w:szCs w:val="20"/>
        </w:rPr>
        <w:t xml:space="preserve"> </w:t>
      </w:r>
      <w:r w:rsidRPr="00513DE9">
        <w:rPr>
          <w:rStyle w:val="st"/>
          <w:rFonts w:ascii="Calibri" w:eastAsia="Times New Roman" w:hAnsi="Calibri" w:cs="Times New Roman"/>
          <w:sz w:val="20"/>
          <w:szCs w:val="20"/>
        </w:rPr>
        <w:t xml:space="preserve">Ira S. Rubinstein, </w:t>
      </w:r>
      <w:r w:rsidRPr="00576BA1">
        <w:rPr>
          <w:rStyle w:val="st"/>
          <w:rFonts w:ascii="Calibri" w:eastAsia="Times New Roman" w:hAnsi="Calibri" w:cs="Times New Roman"/>
          <w:i/>
          <w:sz w:val="20"/>
          <w:szCs w:val="20"/>
        </w:rPr>
        <w:t>Regulating Privacy by Design</w:t>
      </w:r>
      <w:r>
        <w:rPr>
          <w:rStyle w:val="st"/>
          <w:rFonts w:ascii="Calibri" w:eastAsia="Times New Roman" w:hAnsi="Calibri" w:cs="Times New Roman"/>
          <w:sz w:val="20"/>
          <w:szCs w:val="20"/>
        </w:rPr>
        <w:t xml:space="preserve">, </w:t>
      </w:r>
      <w:proofErr w:type="gramStart"/>
      <w:r>
        <w:rPr>
          <w:rStyle w:val="st"/>
          <w:rFonts w:ascii="Calibri" w:eastAsia="Times New Roman" w:hAnsi="Calibri" w:cs="Times New Roman"/>
          <w:sz w:val="20"/>
          <w:szCs w:val="20"/>
        </w:rPr>
        <w:t>26</w:t>
      </w:r>
      <w:proofErr w:type="gramEnd"/>
      <w:r>
        <w:rPr>
          <w:rStyle w:val="st"/>
          <w:rFonts w:ascii="Calibri" w:eastAsia="Times New Roman" w:hAnsi="Calibri" w:cs="Times New Roman"/>
          <w:sz w:val="20"/>
          <w:szCs w:val="20"/>
        </w:rPr>
        <w:t xml:space="preserve"> </w:t>
      </w:r>
      <w:proofErr w:type="spellStart"/>
      <w:r w:rsidRPr="00576BA1">
        <w:rPr>
          <w:rStyle w:val="st"/>
          <w:rFonts w:ascii="Calibri" w:eastAsia="Times New Roman" w:hAnsi="Calibri" w:cs="Times New Roman"/>
          <w:smallCaps/>
          <w:sz w:val="20"/>
          <w:szCs w:val="20"/>
        </w:rPr>
        <w:t>Berk</w:t>
      </w:r>
      <w:proofErr w:type="spellEnd"/>
      <w:r w:rsidRPr="00576BA1">
        <w:rPr>
          <w:rStyle w:val="st"/>
          <w:rFonts w:ascii="Calibri" w:eastAsia="Times New Roman" w:hAnsi="Calibri" w:cs="Times New Roman"/>
          <w:smallCaps/>
          <w:sz w:val="20"/>
          <w:szCs w:val="20"/>
        </w:rPr>
        <w:t>. Tech. L. J.</w:t>
      </w:r>
      <w:r>
        <w:rPr>
          <w:rStyle w:val="st"/>
          <w:rFonts w:ascii="Calibri" w:eastAsia="Times New Roman" w:hAnsi="Calibri" w:cs="Times New Roman"/>
          <w:sz w:val="20"/>
          <w:szCs w:val="20"/>
        </w:rPr>
        <w:t xml:space="preserve"> </w:t>
      </w:r>
      <w:r w:rsidRPr="00513DE9">
        <w:rPr>
          <w:rStyle w:val="st"/>
          <w:rFonts w:ascii="Calibri" w:eastAsia="Times New Roman" w:hAnsi="Calibri" w:cs="Times New Roman"/>
          <w:sz w:val="20"/>
          <w:szCs w:val="20"/>
        </w:rPr>
        <w:t>1409</w:t>
      </w:r>
      <w:r>
        <w:rPr>
          <w:rStyle w:val="st"/>
          <w:rFonts w:ascii="Calibri" w:eastAsia="Times New Roman" w:hAnsi="Calibri" w:cs="Times New Roman"/>
          <w:sz w:val="20"/>
          <w:szCs w:val="20"/>
        </w:rPr>
        <w:t xml:space="preserve">, 1454-56 (2012. </w:t>
      </w:r>
    </w:p>
    <w:p w14:paraId="38B2FF90" w14:textId="77777777" w:rsidR="00241535" w:rsidRPr="00695F10" w:rsidRDefault="00241535" w:rsidP="00695F10">
      <w:pPr>
        <w:widowControl w:val="0"/>
        <w:autoSpaceDE w:val="0"/>
        <w:autoSpaceDN w:val="0"/>
        <w:adjustRightInd w:val="0"/>
        <w:rPr>
          <w:rFonts w:ascii="Calibri" w:hAnsi="Calibri" w:cs="Times New Roman"/>
          <w:sz w:val="20"/>
          <w:szCs w:val="20"/>
        </w:rPr>
      </w:pPr>
    </w:p>
  </w:footnote>
  <w:footnote w:id="10">
    <w:p w14:paraId="46030B75" w14:textId="77777777" w:rsidR="00241535" w:rsidRDefault="00241535">
      <w:pPr>
        <w:pStyle w:val="FootnoteText"/>
      </w:pPr>
      <w:r>
        <w:rPr>
          <w:rStyle w:val="FootnoteReference"/>
        </w:rPr>
        <w:footnoteRef/>
      </w:r>
      <w:r>
        <w:t xml:space="preserve"> See </w:t>
      </w:r>
      <w:r>
        <w:rPr>
          <w:rStyle w:val="st"/>
          <w:rFonts w:eastAsia="Times New Roman" w:cs="Times New Roman"/>
        </w:rPr>
        <w:t xml:space="preserve">Deirdre K. </w:t>
      </w:r>
      <w:r w:rsidRPr="00663FA5">
        <w:rPr>
          <w:rStyle w:val="Emphasis"/>
          <w:rFonts w:eastAsia="Times New Roman" w:cs="Times New Roman"/>
          <w:i w:val="0"/>
        </w:rPr>
        <w:t>Mulligan</w:t>
      </w:r>
      <w:r>
        <w:rPr>
          <w:rStyle w:val="st"/>
          <w:rFonts w:eastAsia="Times New Roman" w:cs="Times New Roman"/>
        </w:rPr>
        <w:t xml:space="preserve"> &amp; Aaron K. </w:t>
      </w:r>
      <w:proofErr w:type="spellStart"/>
      <w:r>
        <w:rPr>
          <w:rStyle w:val="st"/>
          <w:rFonts w:eastAsia="Times New Roman" w:cs="Times New Roman"/>
        </w:rPr>
        <w:t>Perzanowski</w:t>
      </w:r>
      <w:proofErr w:type="spellEnd"/>
      <w:r>
        <w:rPr>
          <w:rStyle w:val="st"/>
          <w:rFonts w:eastAsia="Times New Roman" w:cs="Times New Roman"/>
        </w:rPr>
        <w:t xml:space="preserve">, </w:t>
      </w:r>
      <w:r w:rsidRPr="00576BA1">
        <w:rPr>
          <w:rStyle w:val="st"/>
          <w:rFonts w:eastAsia="Times New Roman" w:cs="Times New Roman"/>
          <w:i/>
        </w:rPr>
        <w:t xml:space="preserve">The Magnificence of the Disaster: Reconstructing the Sony BMG </w:t>
      </w:r>
      <w:r w:rsidRPr="00F85CDD">
        <w:rPr>
          <w:rStyle w:val="Emphasis"/>
          <w:rFonts w:eastAsia="Times New Roman" w:cs="Times New Roman"/>
        </w:rPr>
        <w:t>Rootkit</w:t>
      </w:r>
      <w:r w:rsidRPr="00F85CDD">
        <w:rPr>
          <w:rStyle w:val="st"/>
          <w:rFonts w:eastAsia="Times New Roman" w:cs="Times New Roman"/>
          <w:i/>
        </w:rPr>
        <w:t xml:space="preserve"> </w:t>
      </w:r>
      <w:r w:rsidRPr="00576BA1">
        <w:rPr>
          <w:rStyle w:val="st"/>
          <w:rFonts w:eastAsia="Times New Roman" w:cs="Times New Roman"/>
          <w:i/>
        </w:rPr>
        <w:t>Incident</w:t>
      </w:r>
      <w:r>
        <w:rPr>
          <w:rStyle w:val="st"/>
          <w:rFonts w:eastAsia="Times New Roman" w:cs="Times New Roman"/>
        </w:rPr>
        <w:t xml:space="preserve">, 22 </w:t>
      </w:r>
      <w:proofErr w:type="spellStart"/>
      <w:proofErr w:type="gramStart"/>
      <w:r w:rsidRPr="00576BA1">
        <w:rPr>
          <w:rStyle w:val="st"/>
          <w:rFonts w:eastAsia="Times New Roman" w:cs="Times New Roman"/>
          <w:smallCaps/>
          <w:szCs w:val="20"/>
        </w:rPr>
        <w:t>Berk</w:t>
      </w:r>
      <w:proofErr w:type="spellEnd"/>
      <w:proofErr w:type="gramEnd"/>
      <w:r w:rsidRPr="00576BA1">
        <w:rPr>
          <w:rStyle w:val="st"/>
          <w:rFonts w:eastAsia="Times New Roman" w:cs="Times New Roman"/>
          <w:smallCaps/>
          <w:szCs w:val="20"/>
        </w:rPr>
        <w:t>. Tech. L. J.</w:t>
      </w:r>
      <w:r>
        <w:rPr>
          <w:rStyle w:val="st"/>
          <w:rFonts w:eastAsia="Times New Roman" w:cs="Times New Roman"/>
        </w:rPr>
        <w:t xml:space="preserve"> 1158, 1218 (2007)(noting that the FTC settlement in Sony BMG is “a testament to the power of broad and flexible grants of authority that provide a basis for tailoring responses to new marketplace practices that mislead or injure consumers and materially disrupt settled consumer expectations”).</w:t>
      </w:r>
    </w:p>
    <w:p w14:paraId="7DDB60AA" w14:textId="77777777" w:rsidR="00241535" w:rsidRDefault="00241535">
      <w:pPr>
        <w:pStyle w:val="FootnoteText"/>
      </w:pPr>
    </w:p>
  </w:footnote>
  <w:footnote w:id="11">
    <w:p w14:paraId="64185FCD" w14:textId="77777777" w:rsidR="00241535" w:rsidRDefault="00241535" w:rsidP="00CA3D68">
      <w:pPr>
        <w:widowControl w:val="0"/>
        <w:autoSpaceDE w:val="0"/>
        <w:autoSpaceDN w:val="0"/>
        <w:adjustRightInd w:val="0"/>
        <w:rPr>
          <w:rStyle w:val="st"/>
          <w:rFonts w:eastAsia="Times New Roman" w:cs="Times New Roman"/>
        </w:rPr>
      </w:pPr>
      <w:r w:rsidRPr="007A75A8">
        <w:rPr>
          <w:rStyle w:val="FootnoteReference"/>
          <w:rFonts w:ascii="Calibri" w:hAnsi="Calibri"/>
          <w:sz w:val="20"/>
          <w:szCs w:val="20"/>
        </w:rPr>
        <w:footnoteRef/>
      </w:r>
      <w:r w:rsidRPr="00CA3D68">
        <w:rPr>
          <w:rFonts w:ascii="Calibri" w:hAnsi="Calibri"/>
          <w:i/>
          <w:sz w:val="20"/>
          <w:szCs w:val="20"/>
        </w:rPr>
        <w:t xml:space="preserve"> </w:t>
      </w:r>
      <w:r w:rsidRPr="007A75A8">
        <w:rPr>
          <w:rFonts w:ascii="Calibri" w:hAnsi="Calibri"/>
          <w:sz w:val="20"/>
          <w:szCs w:val="20"/>
        </w:rPr>
        <w:t>See</w:t>
      </w:r>
      <w:r w:rsidRPr="00CA3D68">
        <w:rPr>
          <w:rFonts w:ascii="Calibri" w:hAnsi="Calibri"/>
          <w:i/>
          <w:sz w:val="20"/>
          <w:szCs w:val="20"/>
        </w:rPr>
        <w:t xml:space="preserve"> </w:t>
      </w:r>
      <w:r w:rsidRPr="00CA3D68">
        <w:rPr>
          <w:rStyle w:val="Emphasis"/>
          <w:rFonts w:ascii="Calibri" w:eastAsia="Times New Roman" w:hAnsi="Calibri" w:cs="Times New Roman"/>
          <w:i w:val="0"/>
          <w:sz w:val="20"/>
          <w:szCs w:val="20"/>
        </w:rPr>
        <w:t>Bamberger</w:t>
      </w:r>
      <w:r w:rsidRPr="00CA3D68">
        <w:rPr>
          <w:rStyle w:val="st"/>
          <w:rFonts w:ascii="Calibri" w:eastAsia="Times New Roman" w:hAnsi="Calibri" w:cs="Times New Roman"/>
          <w:i/>
          <w:sz w:val="20"/>
          <w:szCs w:val="20"/>
        </w:rPr>
        <w:t xml:space="preserve"> </w:t>
      </w:r>
      <w:r w:rsidRPr="004906CA">
        <w:rPr>
          <w:rStyle w:val="st"/>
          <w:rFonts w:ascii="Calibri" w:eastAsia="Times New Roman" w:hAnsi="Calibri" w:cs="Times New Roman"/>
          <w:sz w:val="20"/>
          <w:szCs w:val="20"/>
        </w:rPr>
        <w:t>and</w:t>
      </w:r>
      <w:r w:rsidRPr="00CA3D68">
        <w:rPr>
          <w:rStyle w:val="st"/>
          <w:rFonts w:ascii="Calibri" w:eastAsia="Times New Roman" w:hAnsi="Calibri" w:cs="Times New Roman"/>
          <w:i/>
          <w:sz w:val="20"/>
          <w:szCs w:val="20"/>
        </w:rPr>
        <w:t xml:space="preserve"> </w:t>
      </w:r>
      <w:r w:rsidRPr="00CA3D68">
        <w:rPr>
          <w:rStyle w:val="Emphasis"/>
          <w:rFonts w:ascii="Calibri" w:eastAsia="Times New Roman" w:hAnsi="Calibri" w:cs="Times New Roman"/>
          <w:i w:val="0"/>
          <w:sz w:val="20"/>
          <w:szCs w:val="20"/>
        </w:rPr>
        <w:t>Mulligan,</w:t>
      </w:r>
      <w:r w:rsidRPr="00CA3D68">
        <w:rPr>
          <w:rStyle w:val="st"/>
          <w:rFonts w:ascii="Calibri" w:eastAsia="Times New Roman" w:hAnsi="Calibri" w:cs="Times New Roman"/>
          <w:i/>
          <w:sz w:val="20"/>
          <w:szCs w:val="20"/>
        </w:rPr>
        <w:t xml:space="preserve"> </w:t>
      </w:r>
      <w:r w:rsidRPr="00A032F0">
        <w:rPr>
          <w:rStyle w:val="st"/>
          <w:rFonts w:ascii="Calibri" w:eastAsia="Times New Roman" w:hAnsi="Calibri" w:cs="Times New Roman"/>
          <w:sz w:val="20"/>
          <w:szCs w:val="20"/>
        </w:rPr>
        <w:t>Privacy on the Books and on the</w:t>
      </w:r>
      <w:r w:rsidRPr="00CA3D68">
        <w:rPr>
          <w:rStyle w:val="st"/>
          <w:rFonts w:ascii="Calibri" w:eastAsia="Times New Roman" w:hAnsi="Calibri" w:cs="Times New Roman"/>
          <w:i/>
          <w:sz w:val="20"/>
          <w:szCs w:val="20"/>
        </w:rPr>
        <w:t xml:space="preserve"> </w:t>
      </w:r>
      <w:r w:rsidRPr="00CA3D68">
        <w:rPr>
          <w:rStyle w:val="Emphasis"/>
          <w:rFonts w:ascii="Calibri" w:eastAsia="Times New Roman" w:hAnsi="Calibri" w:cs="Times New Roman"/>
          <w:i w:val="0"/>
          <w:sz w:val="20"/>
          <w:szCs w:val="20"/>
        </w:rPr>
        <w:t xml:space="preserve">Ground, 63 </w:t>
      </w:r>
      <w:r w:rsidRPr="00576BA1">
        <w:rPr>
          <w:rStyle w:val="Emphasis"/>
          <w:rFonts w:ascii="Calibri" w:eastAsia="Times New Roman" w:hAnsi="Calibri" w:cs="Times New Roman"/>
          <w:i w:val="0"/>
          <w:iCs w:val="0"/>
          <w:smallCaps/>
          <w:sz w:val="20"/>
          <w:szCs w:val="20"/>
        </w:rPr>
        <w:t>Stan. L. Rev.</w:t>
      </w:r>
      <w:r w:rsidRPr="00CA3D68">
        <w:rPr>
          <w:rStyle w:val="Emphasis"/>
          <w:rFonts w:ascii="Calibri" w:eastAsia="Times New Roman" w:hAnsi="Calibri" w:cs="Times New Roman"/>
          <w:i w:val="0"/>
          <w:sz w:val="20"/>
          <w:szCs w:val="20"/>
        </w:rPr>
        <w:t xml:space="preserve"> at </w:t>
      </w:r>
      <w:r>
        <w:rPr>
          <w:rStyle w:val="Emphasis"/>
          <w:rFonts w:ascii="Calibri" w:eastAsia="Times New Roman" w:hAnsi="Calibri" w:cs="Times New Roman"/>
          <w:i w:val="0"/>
          <w:sz w:val="20"/>
          <w:szCs w:val="20"/>
        </w:rPr>
        <w:t>300</w:t>
      </w:r>
      <w:r w:rsidRPr="00CA3D68">
        <w:rPr>
          <w:rStyle w:val="Emphasis"/>
          <w:rFonts w:ascii="Calibri" w:eastAsia="Times New Roman" w:hAnsi="Calibri" w:cs="Times New Roman"/>
          <w:i w:val="0"/>
          <w:sz w:val="20"/>
          <w:szCs w:val="20"/>
        </w:rPr>
        <w:t>.</w:t>
      </w:r>
      <w:r>
        <w:rPr>
          <w:rStyle w:val="Emphasis"/>
          <w:rFonts w:ascii="Calibri" w:eastAsia="Times New Roman" w:hAnsi="Calibri" w:cs="Times New Roman"/>
          <w:i w:val="0"/>
          <w:sz w:val="20"/>
          <w:szCs w:val="20"/>
        </w:rPr>
        <w:t xml:space="preserve"> The authors also stress that according to several companies they interviewed, </w:t>
      </w:r>
      <w:r w:rsidRPr="00CA3D68">
        <w:rPr>
          <w:rStyle w:val="Emphasis"/>
          <w:rFonts w:ascii="Calibri" w:eastAsia="Times New Roman" w:hAnsi="Calibri" w:cs="Times New Roman"/>
          <w:sz w:val="20"/>
          <w:szCs w:val="20"/>
        </w:rPr>
        <w:t>“</w:t>
      </w:r>
      <w:r w:rsidRPr="00CA3D68">
        <w:rPr>
          <w:rFonts w:ascii="Calibri" w:hAnsi="Calibri" w:cs="Times New Roman"/>
          <w:sz w:val="20"/>
          <w:szCs w:val="20"/>
        </w:rPr>
        <w:t>a key to the effectiveness of FTC enforcement authority is the agency’s ability to respond to harmful outcomes by enforcing evolving standards of privacy protection as the market, technology, and consumer expectations change”</w:t>
      </w:r>
      <w:r>
        <w:rPr>
          <w:rFonts w:ascii="Calibri" w:hAnsi="Calibri" w:cs="Times New Roman"/>
          <w:sz w:val="20"/>
          <w:szCs w:val="20"/>
        </w:rPr>
        <w:t xml:space="preserve">; </w:t>
      </w:r>
      <w:r w:rsidRPr="00576BA1">
        <w:rPr>
          <w:rFonts w:ascii="Calibri" w:hAnsi="Calibri" w:cs="Times New Roman"/>
          <w:i/>
          <w:sz w:val="20"/>
          <w:szCs w:val="20"/>
        </w:rPr>
        <w:t xml:space="preserve">id. </w:t>
      </w:r>
      <w:proofErr w:type="gramStart"/>
      <w:r>
        <w:rPr>
          <w:rFonts w:ascii="Calibri" w:hAnsi="Calibri" w:cs="Times New Roman"/>
          <w:sz w:val="20"/>
          <w:szCs w:val="20"/>
        </w:rPr>
        <w:t>at</w:t>
      </w:r>
      <w:proofErr w:type="gramEnd"/>
      <w:r>
        <w:rPr>
          <w:rFonts w:ascii="Calibri" w:hAnsi="Calibri" w:cs="Times New Roman"/>
          <w:sz w:val="20"/>
          <w:szCs w:val="20"/>
        </w:rPr>
        <w:t xml:space="preserve"> 273. </w:t>
      </w:r>
    </w:p>
    <w:p w14:paraId="16203A08" w14:textId="77777777" w:rsidR="00241535" w:rsidRDefault="00241535" w:rsidP="00CA3D68">
      <w:pPr>
        <w:widowControl w:val="0"/>
        <w:autoSpaceDE w:val="0"/>
        <w:autoSpaceDN w:val="0"/>
        <w:adjustRightInd w:val="0"/>
      </w:pPr>
    </w:p>
  </w:footnote>
  <w:footnote w:id="12">
    <w:p w14:paraId="6D5EF05D" w14:textId="52DE9262" w:rsidR="00241535" w:rsidRPr="00564DA9" w:rsidRDefault="00241535" w:rsidP="00695F10">
      <w:pPr>
        <w:pStyle w:val="FootnoteText"/>
        <w:rPr>
          <w:rFonts w:ascii="Calibri" w:hAnsi="Calibri"/>
          <w:szCs w:val="20"/>
        </w:rPr>
      </w:pPr>
      <w:r w:rsidRPr="00564DA9">
        <w:rPr>
          <w:rStyle w:val="FootnoteReference"/>
          <w:rFonts w:ascii="Calibri" w:hAnsi="Calibri"/>
          <w:szCs w:val="20"/>
        </w:rPr>
        <w:footnoteRef/>
      </w:r>
      <w:r w:rsidRPr="00564DA9">
        <w:rPr>
          <w:rFonts w:ascii="Calibri" w:hAnsi="Calibri"/>
          <w:szCs w:val="20"/>
        </w:rPr>
        <w:t xml:space="preserve"> </w:t>
      </w:r>
      <w:r>
        <w:rPr>
          <w:rFonts w:ascii="Calibri" w:hAnsi="Calibri"/>
          <w:szCs w:val="20"/>
        </w:rPr>
        <w:t xml:space="preserve">A number of bills were introduced between 1999 and 2001 but were never enacted.  In 2010, both the House and the Senate introduced new omnibus privacy bills but so far they have not advanced.  </w:t>
      </w:r>
      <w:r w:rsidRPr="00564DA9">
        <w:rPr>
          <w:rFonts w:ascii="Calibri" w:hAnsi="Calibri"/>
          <w:szCs w:val="20"/>
        </w:rPr>
        <w:t xml:space="preserve"> </w:t>
      </w:r>
    </w:p>
  </w:footnote>
  <w:footnote w:id="13">
    <w:p w14:paraId="6E38071C" w14:textId="77777777" w:rsidR="00241535" w:rsidRDefault="00241535" w:rsidP="003416E5">
      <w:pPr>
        <w:pStyle w:val="FootnoteText"/>
        <w:rPr>
          <w:rFonts w:ascii="Calibri" w:hAnsi="Calibri"/>
          <w:szCs w:val="20"/>
        </w:rPr>
      </w:pPr>
      <w:r w:rsidRPr="00564DA9">
        <w:rPr>
          <w:rStyle w:val="FootnoteReference"/>
          <w:rFonts w:ascii="Calibri" w:hAnsi="Calibri"/>
          <w:szCs w:val="20"/>
        </w:rPr>
        <w:footnoteRef/>
      </w:r>
      <w:r w:rsidRPr="00564DA9">
        <w:rPr>
          <w:rFonts w:ascii="Calibri" w:hAnsi="Calibri"/>
          <w:szCs w:val="20"/>
        </w:rPr>
        <w:t xml:space="preserve"> </w:t>
      </w:r>
      <w:proofErr w:type="gramStart"/>
      <w:r>
        <w:rPr>
          <w:rFonts w:ascii="Calibri" w:hAnsi="Calibri"/>
          <w:szCs w:val="20"/>
        </w:rPr>
        <w:t>White Paper</w:t>
      </w:r>
      <w:r w:rsidRPr="00564DA9">
        <w:rPr>
          <w:rFonts w:ascii="Calibri" w:hAnsi="Calibri"/>
          <w:szCs w:val="20"/>
        </w:rPr>
        <w:t xml:space="preserve"> at 23-24.</w:t>
      </w:r>
      <w:proofErr w:type="gramEnd"/>
      <w:r w:rsidRPr="00564DA9">
        <w:rPr>
          <w:rFonts w:ascii="Calibri" w:hAnsi="Calibri"/>
          <w:szCs w:val="20"/>
        </w:rPr>
        <w:t xml:space="preserve"> </w:t>
      </w:r>
    </w:p>
    <w:p w14:paraId="7675A997" w14:textId="77777777" w:rsidR="00241535" w:rsidRPr="00564DA9" w:rsidRDefault="00241535" w:rsidP="003416E5">
      <w:pPr>
        <w:pStyle w:val="FootnoteText"/>
        <w:rPr>
          <w:rFonts w:ascii="Calibri" w:hAnsi="Calibri"/>
          <w:szCs w:val="20"/>
        </w:rPr>
      </w:pPr>
    </w:p>
  </w:footnote>
  <w:footnote w:id="14">
    <w:p w14:paraId="1AF7FFC4" w14:textId="77777777" w:rsidR="00241535" w:rsidRDefault="00241535" w:rsidP="003416E5">
      <w:pPr>
        <w:outlineLvl w:val="0"/>
        <w:rPr>
          <w:rFonts w:ascii="Calibri" w:eastAsia="Times New Roman" w:hAnsi="Calibri" w:cs="Times New Roman"/>
          <w:sz w:val="20"/>
          <w:szCs w:val="20"/>
        </w:rPr>
      </w:pPr>
      <w:r w:rsidRPr="00564DA9">
        <w:rPr>
          <w:rStyle w:val="FootnoteReference"/>
          <w:rFonts w:ascii="Calibri" w:hAnsi="Calibri"/>
          <w:sz w:val="20"/>
          <w:szCs w:val="20"/>
        </w:rPr>
        <w:footnoteRef/>
      </w:r>
      <w:r>
        <w:rPr>
          <w:rFonts w:ascii="Calibri" w:hAnsi="Calibri"/>
          <w:sz w:val="20"/>
          <w:szCs w:val="20"/>
        </w:rPr>
        <w:t xml:space="preserve"> </w:t>
      </w:r>
      <w:r w:rsidRPr="00564DA9">
        <w:rPr>
          <w:rFonts w:ascii="Calibri" w:hAnsi="Calibri"/>
          <w:sz w:val="20"/>
          <w:szCs w:val="20"/>
        </w:rPr>
        <w:t xml:space="preserve">See </w:t>
      </w:r>
      <w:r w:rsidRPr="00564DA9">
        <w:rPr>
          <w:rFonts w:ascii="Calibri" w:eastAsia="Times New Roman" w:hAnsi="Calibri" w:cs="Times New Roman"/>
          <w:bCs/>
          <w:kern w:val="36"/>
          <w:sz w:val="20"/>
          <w:szCs w:val="20"/>
        </w:rPr>
        <w:t>The Tao of IETF: A Novice's Guide to the Internet Engineering Task Force</w:t>
      </w:r>
      <w:r>
        <w:rPr>
          <w:rFonts w:ascii="Calibri" w:eastAsia="Times New Roman" w:hAnsi="Calibri" w:cs="Times New Roman"/>
          <w:bCs/>
          <w:kern w:val="36"/>
          <w:sz w:val="20"/>
          <w:szCs w:val="20"/>
        </w:rPr>
        <w:t xml:space="preserve"> </w:t>
      </w:r>
      <w:r w:rsidRPr="00564DA9">
        <w:rPr>
          <w:rFonts w:ascii="Calibri" w:hAnsi="Calibri" w:cs="Lucida Grande"/>
          <w:color w:val="000000"/>
          <w:sz w:val="20"/>
          <w:szCs w:val="20"/>
        </w:rPr>
        <w:t>§5.2</w:t>
      </w:r>
      <w:r>
        <w:rPr>
          <w:rFonts w:ascii="Calibri" w:hAnsi="Calibri" w:cs="Lucida Grande"/>
          <w:color w:val="000000"/>
          <w:sz w:val="20"/>
          <w:szCs w:val="20"/>
        </w:rPr>
        <w:t xml:space="preserve"> (2011)</w:t>
      </w:r>
      <w:r>
        <w:rPr>
          <w:rFonts w:ascii="Calibri" w:eastAsia="Times New Roman" w:hAnsi="Calibri" w:cs="Times New Roman"/>
          <w:bCs/>
          <w:kern w:val="36"/>
          <w:sz w:val="20"/>
          <w:szCs w:val="20"/>
        </w:rPr>
        <w:t xml:space="preserve">, </w:t>
      </w:r>
      <w:r>
        <w:rPr>
          <w:rFonts w:ascii="Calibri" w:eastAsia="Times New Roman" w:hAnsi="Calibri" w:cs="Times New Roman"/>
          <w:bCs/>
          <w:i/>
          <w:kern w:val="36"/>
          <w:sz w:val="20"/>
          <w:szCs w:val="20"/>
        </w:rPr>
        <w:t xml:space="preserve">available at </w:t>
      </w:r>
      <w:hyperlink r:id="rId2" w:history="1">
        <w:r w:rsidRPr="00564DA9">
          <w:rPr>
            <w:rStyle w:val="Hyperlink"/>
            <w:rFonts w:ascii="Calibri" w:eastAsia="Times New Roman" w:hAnsi="Calibri" w:cs="Times New Roman"/>
            <w:bCs/>
            <w:kern w:val="36"/>
            <w:sz w:val="20"/>
            <w:szCs w:val="20"/>
          </w:rPr>
          <w:t>http://www.ietf.org/tao.html</w:t>
        </w:r>
      </w:hyperlink>
      <w:r>
        <w:rPr>
          <w:rFonts w:ascii="Calibri" w:eastAsia="Times New Roman" w:hAnsi="Calibri" w:cs="Times New Roman"/>
          <w:bCs/>
          <w:i/>
          <w:kern w:val="36"/>
          <w:sz w:val="20"/>
          <w:szCs w:val="20"/>
        </w:rPr>
        <w:t xml:space="preserve"> </w:t>
      </w:r>
      <w:r>
        <w:rPr>
          <w:rFonts w:ascii="Calibri" w:eastAsia="Times New Roman" w:hAnsi="Calibri" w:cs="Times New Roman"/>
          <w:bCs/>
          <w:kern w:val="36"/>
          <w:sz w:val="20"/>
          <w:szCs w:val="20"/>
        </w:rPr>
        <w:t>(</w:t>
      </w:r>
      <w:r w:rsidRPr="00564DA9">
        <w:rPr>
          <w:rFonts w:ascii="Calibri" w:hAnsi="Calibri" w:cs="Lucida Grande"/>
          <w:color w:val="000000"/>
          <w:sz w:val="20"/>
          <w:szCs w:val="20"/>
        </w:rPr>
        <w:t>“</w:t>
      </w:r>
      <w:r w:rsidRPr="00564DA9">
        <w:rPr>
          <w:rFonts w:ascii="Calibri" w:eastAsia="Times New Roman" w:hAnsi="Calibri" w:cs="Times New Roman"/>
          <w:sz w:val="20"/>
          <w:szCs w:val="20"/>
        </w:rPr>
        <w:t>Another aspect of Working Groups that confounds many people is the fact that there is no formal voting. The general rule on disputed topics is that the Working Group has to come to "rough consensus", meaning that a very large majority of those who care must agree. The exact method of determining rough consensus varies from Working Group to Working Group. Sometimes consensus is determined by "humming" -- if you agree with a proposal, you hum when prompted by the chair; if you disagree, you keep your silence. Newcomers find it quite peculiar, but it works. It is up to the chair to decide when the Working Group has reached rough consensus”).</w:t>
      </w:r>
    </w:p>
    <w:p w14:paraId="371BCA0F" w14:textId="77777777" w:rsidR="00241535" w:rsidRPr="00564DA9" w:rsidRDefault="00241535" w:rsidP="003416E5">
      <w:pPr>
        <w:outlineLvl w:val="0"/>
        <w:rPr>
          <w:rFonts w:ascii="Calibri" w:hAnsi="Calibri"/>
          <w:sz w:val="20"/>
          <w:szCs w:val="20"/>
        </w:rPr>
      </w:pPr>
    </w:p>
  </w:footnote>
  <w:footnote w:id="15">
    <w:p w14:paraId="402382B5" w14:textId="77777777" w:rsidR="00241535" w:rsidRPr="00A90AD1" w:rsidRDefault="00241535" w:rsidP="00692110">
      <w:pPr>
        <w:pStyle w:val="FootnoteText"/>
      </w:pPr>
      <w:r>
        <w:rPr>
          <w:rStyle w:val="FootnoteReference"/>
        </w:rPr>
        <w:footnoteRef/>
      </w:r>
      <w:r>
        <w:t xml:space="preserve"> </w:t>
      </w:r>
      <w:r>
        <w:rPr>
          <w:i/>
        </w:rPr>
        <w:t xml:space="preserve">Cf. </w:t>
      </w:r>
      <w:r>
        <w:t xml:space="preserve">Hirsch, </w:t>
      </w:r>
      <w:r>
        <w:rPr>
          <w:i/>
        </w:rPr>
        <w:t>Inner Environment, supra</w:t>
      </w:r>
      <w:r>
        <w:t xml:space="preserve"> (describing the analogy between environmental damage and privacy injuries).</w:t>
      </w:r>
    </w:p>
  </w:footnote>
  <w:footnote w:id="16">
    <w:p w14:paraId="2D5A2AC1" w14:textId="77777777" w:rsidR="00241535" w:rsidRDefault="00241535" w:rsidP="003416E5">
      <w:pPr>
        <w:pStyle w:val="FootnoteText"/>
        <w:rPr>
          <w:rFonts w:ascii="Calibri" w:hAnsi="Calibri" w:cs="Times New Roman"/>
          <w:szCs w:val="20"/>
        </w:rPr>
      </w:pPr>
      <w:r>
        <w:rPr>
          <w:rStyle w:val="FootnoteReference"/>
        </w:rPr>
        <w:footnoteRef/>
      </w:r>
      <w:r>
        <w:t xml:space="preserve"> </w:t>
      </w:r>
      <w:r w:rsidRPr="00576BA1">
        <w:rPr>
          <w:rFonts w:ascii="Calibri" w:hAnsi="Calibri"/>
          <w:i/>
          <w:szCs w:val="20"/>
        </w:rPr>
        <w:t>See</w:t>
      </w:r>
      <w:r w:rsidRPr="00564DA9">
        <w:rPr>
          <w:rFonts w:ascii="Calibri" w:hAnsi="Calibri"/>
          <w:szCs w:val="20"/>
        </w:rPr>
        <w:t xml:space="preserve"> </w:t>
      </w:r>
      <w:r w:rsidRPr="00564DA9">
        <w:rPr>
          <w:rFonts w:ascii="Calibri" w:hAnsi="Calibri" w:cs="Times New Roman"/>
          <w:szCs w:val="20"/>
        </w:rPr>
        <w:t xml:space="preserve">Richard B. Stewart, </w:t>
      </w:r>
      <w:r w:rsidRPr="00576BA1">
        <w:rPr>
          <w:rFonts w:ascii="Calibri" w:hAnsi="Calibri" w:cs="Times New Roman"/>
          <w:i/>
          <w:szCs w:val="20"/>
        </w:rPr>
        <w:t>A New Generation of Environmental Regulation</w:t>
      </w:r>
      <w:proofErr w:type="gramStart"/>
      <w:r w:rsidRPr="00576BA1">
        <w:rPr>
          <w:rFonts w:ascii="Calibri" w:hAnsi="Calibri" w:cs="Times New Roman"/>
          <w:i/>
          <w:szCs w:val="20"/>
        </w:rPr>
        <w:t>?,</w:t>
      </w:r>
      <w:proofErr w:type="gramEnd"/>
      <w:r w:rsidRPr="00564DA9">
        <w:rPr>
          <w:rFonts w:ascii="Calibri" w:hAnsi="Calibri" w:cs="Times New Roman"/>
          <w:szCs w:val="20"/>
        </w:rPr>
        <w:t xml:space="preserve"> 29 </w:t>
      </w:r>
      <w:r w:rsidRPr="00576BA1">
        <w:rPr>
          <w:rFonts w:ascii="Calibri" w:hAnsi="Calibri" w:cs="Times New Roman"/>
          <w:smallCaps/>
          <w:szCs w:val="20"/>
        </w:rPr>
        <w:t>CAP. U. L. REV.</w:t>
      </w:r>
      <w:r w:rsidRPr="00564DA9">
        <w:rPr>
          <w:rFonts w:ascii="Calibri" w:hAnsi="Calibri" w:cs="Times New Roman"/>
          <w:szCs w:val="20"/>
        </w:rPr>
        <w:t xml:space="preserve"> 21, </w:t>
      </w:r>
      <w:r>
        <w:rPr>
          <w:rFonts w:ascii="Calibri" w:hAnsi="Calibri" w:cs="Times New Roman"/>
          <w:szCs w:val="20"/>
        </w:rPr>
        <w:t xml:space="preserve">80-86  </w:t>
      </w:r>
      <w:r w:rsidRPr="00564DA9">
        <w:rPr>
          <w:rFonts w:ascii="Calibri" w:hAnsi="Calibri" w:cs="Times New Roman"/>
          <w:szCs w:val="20"/>
        </w:rPr>
        <w:t>(2001).</w:t>
      </w:r>
    </w:p>
    <w:p w14:paraId="7726EF26" w14:textId="77777777" w:rsidR="00241535" w:rsidRDefault="00241535" w:rsidP="003416E5">
      <w:pPr>
        <w:pStyle w:val="FootnoteText"/>
      </w:pPr>
    </w:p>
  </w:footnote>
  <w:footnote w:id="17">
    <w:p w14:paraId="2BB1781F" w14:textId="77777777" w:rsidR="00241535" w:rsidRPr="00564DA9" w:rsidRDefault="00241535" w:rsidP="003416E5">
      <w:pPr>
        <w:widowControl w:val="0"/>
        <w:autoSpaceDE w:val="0"/>
        <w:autoSpaceDN w:val="0"/>
        <w:adjustRightInd w:val="0"/>
        <w:rPr>
          <w:rFonts w:ascii="Calibri" w:hAnsi="Calibri" w:cs="Times New Roman"/>
          <w:sz w:val="20"/>
          <w:szCs w:val="20"/>
        </w:rPr>
      </w:pPr>
      <w:r w:rsidRPr="00564DA9">
        <w:rPr>
          <w:rStyle w:val="FootnoteReference"/>
          <w:rFonts w:ascii="Calibri" w:hAnsi="Calibri"/>
          <w:sz w:val="20"/>
          <w:szCs w:val="20"/>
        </w:rPr>
        <w:footnoteRef/>
      </w:r>
      <w:r w:rsidRPr="00564DA9">
        <w:rPr>
          <w:rFonts w:ascii="Calibri" w:hAnsi="Calibri"/>
          <w:sz w:val="20"/>
          <w:szCs w:val="20"/>
        </w:rPr>
        <w:t xml:space="preserve"> </w:t>
      </w:r>
      <w:r w:rsidRPr="00564DA9">
        <w:rPr>
          <w:rFonts w:ascii="Calibri" w:hAnsi="Calibri" w:cs="Times New Roman"/>
          <w:sz w:val="20"/>
          <w:szCs w:val="20"/>
        </w:rPr>
        <w:t xml:space="preserve">On </w:t>
      </w:r>
      <w:proofErr w:type="spellStart"/>
      <w:r w:rsidRPr="00564DA9">
        <w:rPr>
          <w:rFonts w:ascii="Calibri" w:hAnsi="Calibri" w:cs="Times New Roman"/>
          <w:sz w:val="20"/>
          <w:szCs w:val="20"/>
        </w:rPr>
        <w:t>Coasian</w:t>
      </w:r>
      <w:proofErr w:type="spellEnd"/>
      <w:r w:rsidRPr="00564DA9">
        <w:rPr>
          <w:rFonts w:ascii="Calibri" w:hAnsi="Calibri" w:cs="Times New Roman"/>
          <w:sz w:val="20"/>
          <w:szCs w:val="20"/>
        </w:rPr>
        <w:t xml:space="preserve"> bargaining, see R.H. </w:t>
      </w:r>
      <w:proofErr w:type="spellStart"/>
      <w:r w:rsidRPr="00564DA9">
        <w:rPr>
          <w:rFonts w:ascii="Calibri" w:hAnsi="Calibri" w:cs="Times New Roman"/>
          <w:sz w:val="20"/>
          <w:szCs w:val="20"/>
        </w:rPr>
        <w:t>Coase</w:t>
      </w:r>
      <w:proofErr w:type="spellEnd"/>
      <w:r w:rsidRPr="00564DA9">
        <w:rPr>
          <w:rFonts w:ascii="Calibri" w:hAnsi="Calibri" w:cs="Times New Roman"/>
          <w:sz w:val="20"/>
          <w:szCs w:val="20"/>
        </w:rPr>
        <w:t xml:space="preserve">, </w:t>
      </w:r>
      <w:r w:rsidRPr="00576BA1">
        <w:rPr>
          <w:rFonts w:ascii="Calibri" w:hAnsi="Calibri" w:cs="Times New Roman"/>
          <w:i/>
          <w:sz w:val="20"/>
          <w:szCs w:val="20"/>
        </w:rPr>
        <w:t>The Problem of Social Cost</w:t>
      </w:r>
      <w:r w:rsidRPr="00564DA9">
        <w:rPr>
          <w:rFonts w:ascii="Calibri" w:hAnsi="Calibri" w:cs="Times New Roman"/>
          <w:sz w:val="20"/>
          <w:szCs w:val="20"/>
        </w:rPr>
        <w:t xml:space="preserve">, </w:t>
      </w:r>
      <w:proofErr w:type="gramStart"/>
      <w:r w:rsidRPr="00564DA9">
        <w:rPr>
          <w:rFonts w:ascii="Calibri" w:hAnsi="Calibri" w:cs="Times New Roman"/>
          <w:sz w:val="20"/>
          <w:szCs w:val="20"/>
        </w:rPr>
        <w:t>3</w:t>
      </w:r>
      <w:proofErr w:type="gramEnd"/>
      <w:r w:rsidRPr="00564DA9">
        <w:rPr>
          <w:rFonts w:ascii="Calibri" w:hAnsi="Calibri" w:cs="Times New Roman"/>
          <w:sz w:val="20"/>
          <w:szCs w:val="20"/>
        </w:rPr>
        <w:t xml:space="preserve"> J.L. &amp; ECON. 1, 6–8 (1960) (arguing that in the absence of transaction costs, mutually beneficial agreements lead to an efficient outcome regardless of any initial assignment of entitlements).</w:t>
      </w:r>
    </w:p>
    <w:p w14:paraId="525A05B7" w14:textId="77777777" w:rsidR="00241535" w:rsidRPr="00564DA9" w:rsidRDefault="00241535" w:rsidP="003416E5">
      <w:pPr>
        <w:widowControl w:val="0"/>
        <w:autoSpaceDE w:val="0"/>
        <w:autoSpaceDN w:val="0"/>
        <w:adjustRightInd w:val="0"/>
        <w:rPr>
          <w:rFonts w:ascii="Calibri" w:hAnsi="Calibri"/>
          <w:sz w:val="20"/>
          <w:szCs w:val="20"/>
        </w:rPr>
      </w:pPr>
    </w:p>
  </w:footnote>
  <w:footnote w:id="18">
    <w:p w14:paraId="629A301E" w14:textId="77777777" w:rsidR="00241535" w:rsidRPr="00564DA9" w:rsidRDefault="00241535" w:rsidP="003416E5">
      <w:pPr>
        <w:widowControl w:val="0"/>
        <w:autoSpaceDE w:val="0"/>
        <w:autoSpaceDN w:val="0"/>
        <w:adjustRightInd w:val="0"/>
        <w:rPr>
          <w:rFonts w:ascii="Calibri" w:hAnsi="Calibri" w:cs="Times New Roman"/>
          <w:sz w:val="20"/>
          <w:szCs w:val="20"/>
        </w:rPr>
      </w:pPr>
      <w:r w:rsidRPr="00564DA9">
        <w:rPr>
          <w:rStyle w:val="FootnoteReference"/>
          <w:rFonts w:ascii="Calibri" w:hAnsi="Calibri"/>
          <w:sz w:val="20"/>
          <w:szCs w:val="20"/>
        </w:rPr>
        <w:footnoteRef/>
      </w:r>
      <w:r w:rsidRPr="00564DA9">
        <w:rPr>
          <w:rFonts w:ascii="Calibri" w:hAnsi="Calibri"/>
          <w:sz w:val="20"/>
          <w:szCs w:val="20"/>
        </w:rPr>
        <w:t xml:space="preserve"> </w:t>
      </w:r>
      <w:r>
        <w:rPr>
          <w:rFonts w:ascii="Calibri" w:hAnsi="Calibri" w:cs="Times New Roman"/>
          <w:sz w:val="20"/>
          <w:szCs w:val="20"/>
        </w:rPr>
        <w:t xml:space="preserve">  See Stewart, </w:t>
      </w:r>
      <w:r>
        <w:rPr>
          <w:rFonts w:ascii="Calibri" w:hAnsi="Calibri" w:cs="Times New Roman"/>
          <w:i/>
          <w:sz w:val="20"/>
          <w:szCs w:val="20"/>
        </w:rPr>
        <w:t xml:space="preserve">A New Generation, </w:t>
      </w:r>
      <w:r w:rsidRPr="00DB3AE1">
        <w:rPr>
          <w:rFonts w:ascii="Calibri" w:hAnsi="Calibri" w:cs="Times New Roman"/>
          <w:i/>
          <w:sz w:val="20"/>
          <w:szCs w:val="20"/>
        </w:rPr>
        <w:t>supra</w:t>
      </w:r>
      <w:r>
        <w:rPr>
          <w:rFonts w:ascii="Calibri" w:hAnsi="Calibri" w:cs="Times New Roman"/>
          <w:sz w:val="20"/>
          <w:szCs w:val="20"/>
        </w:rPr>
        <w:t xml:space="preserve"> at 61. </w:t>
      </w:r>
      <w:r w:rsidRPr="00DB3AE1">
        <w:rPr>
          <w:rFonts w:ascii="Calibri" w:hAnsi="Calibri" w:cs="Times New Roman"/>
          <w:sz w:val="20"/>
          <w:szCs w:val="20"/>
        </w:rPr>
        <w:t>As</w:t>
      </w:r>
      <w:r w:rsidRPr="00564DA9">
        <w:rPr>
          <w:rFonts w:ascii="Calibri" w:hAnsi="Calibri" w:cs="Times New Roman"/>
          <w:sz w:val="20"/>
          <w:szCs w:val="20"/>
        </w:rPr>
        <w:t xml:space="preserve"> Stewart, further explains:</w:t>
      </w:r>
    </w:p>
    <w:p w14:paraId="5034EBA7" w14:textId="77777777" w:rsidR="00241535" w:rsidRPr="00564DA9" w:rsidRDefault="00241535" w:rsidP="003416E5">
      <w:pPr>
        <w:widowControl w:val="0"/>
        <w:autoSpaceDE w:val="0"/>
        <w:autoSpaceDN w:val="0"/>
        <w:adjustRightInd w:val="0"/>
        <w:rPr>
          <w:rFonts w:ascii="Calibri" w:hAnsi="Calibri" w:cs="Times New Roman"/>
          <w:sz w:val="20"/>
          <w:szCs w:val="20"/>
        </w:rPr>
      </w:pPr>
    </w:p>
    <w:p w14:paraId="19415012" w14:textId="77777777" w:rsidR="00241535" w:rsidRPr="00564DA9" w:rsidRDefault="00241535" w:rsidP="003416E5">
      <w:pPr>
        <w:widowControl w:val="0"/>
        <w:autoSpaceDE w:val="0"/>
        <w:autoSpaceDN w:val="0"/>
        <w:adjustRightInd w:val="0"/>
        <w:ind w:left="720"/>
        <w:rPr>
          <w:rFonts w:ascii="Calibri" w:hAnsi="Calibri" w:cs="Times New Roman"/>
          <w:sz w:val="20"/>
          <w:szCs w:val="20"/>
        </w:rPr>
      </w:pPr>
      <w:r w:rsidRPr="00564DA9">
        <w:rPr>
          <w:rFonts w:ascii="Calibri" w:hAnsi="Calibri" w:cs="Times New Roman"/>
          <w:sz w:val="20"/>
          <w:szCs w:val="20"/>
        </w:rPr>
        <w:t>[</w:t>
      </w:r>
      <w:proofErr w:type="gramStart"/>
      <w:r w:rsidRPr="00564DA9">
        <w:rPr>
          <w:rFonts w:ascii="Calibri" w:hAnsi="Calibri" w:cs="Times New Roman"/>
          <w:sz w:val="20"/>
          <w:szCs w:val="20"/>
        </w:rPr>
        <w:t>E]ach</w:t>
      </w:r>
      <w:proofErr w:type="gramEnd"/>
      <w:r w:rsidRPr="00564DA9">
        <w:rPr>
          <w:rFonts w:ascii="Calibri" w:hAnsi="Calibri" w:cs="Times New Roman"/>
          <w:sz w:val="20"/>
          <w:szCs w:val="20"/>
        </w:rPr>
        <w:t xml:space="preserve"> party to an environmental agreement will seek to maximize its share of the gains produced by the negotiated departure from standard requirements. </w:t>
      </w:r>
      <w:r>
        <w:rPr>
          <w:rFonts w:ascii="Calibri" w:hAnsi="Calibri" w:cs="Times New Roman"/>
          <w:sz w:val="20"/>
          <w:szCs w:val="20"/>
        </w:rPr>
        <w:t xml:space="preserve"> </w:t>
      </w:r>
      <w:r w:rsidRPr="00564DA9">
        <w:rPr>
          <w:rFonts w:ascii="Calibri" w:hAnsi="Calibri" w:cs="Times New Roman"/>
          <w:sz w:val="20"/>
          <w:szCs w:val="20"/>
        </w:rPr>
        <w:t>A regulated firm or industry will seek to use the flexibility afforded by environmental agreements to reduce compliance</w:t>
      </w:r>
    </w:p>
    <w:p w14:paraId="79A97350" w14:textId="77777777" w:rsidR="00241535" w:rsidRPr="00564DA9" w:rsidRDefault="00241535" w:rsidP="003416E5">
      <w:pPr>
        <w:widowControl w:val="0"/>
        <w:autoSpaceDE w:val="0"/>
        <w:autoSpaceDN w:val="0"/>
        <w:adjustRightInd w:val="0"/>
        <w:ind w:left="720"/>
        <w:rPr>
          <w:rFonts w:ascii="Calibri" w:hAnsi="Calibri" w:cs="Times New Roman"/>
          <w:sz w:val="20"/>
          <w:szCs w:val="20"/>
        </w:rPr>
      </w:pPr>
      <w:r w:rsidRPr="00564DA9">
        <w:rPr>
          <w:rFonts w:ascii="Calibri" w:hAnsi="Calibri" w:cs="Times New Roman"/>
          <w:sz w:val="20"/>
          <w:szCs w:val="20"/>
        </w:rPr>
        <w:t xml:space="preserve">costs and other burdens by using alternative or innovative means that would be precluded by the default requirements, gaining flexibility as to the timing of compliance investments, and reducing regulatory uncertainty . . . . For their part, the regulators and environmental and citizen group third parties will seek a higher level of environmental or other benefits than would have been obtained, as a practical matter, under the standard default requirements. </w:t>
      </w:r>
      <w:r>
        <w:rPr>
          <w:rFonts w:ascii="Calibri" w:hAnsi="Calibri" w:cs="Times New Roman"/>
          <w:sz w:val="20"/>
          <w:szCs w:val="20"/>
        </w:rPr>
        <w:t xml:space="preserve"> </w:t>
      </w:r>
      <w:r w:rsidRPr="00564DA9">
        <w:rPr>
          <w:rFonts w:ascii="Calibri" w:hAnsi="Calibri" w:cs="Times New Roman"/>
          <w:sz w:val="20"/>
          <w:szCs w:val="20"/>
        </w:rPr>
        <w:t xml:space="preserve">Regulators may also seek to reserve the authority unilaterally to impose new requirements if new environmental problems arise or the agreement for other reasons later proves environmentally inadequate . . </w:t>
      </w:r>
      <w:proofErr w:type="gramStart"/>
      <w:r w:rsidRPr="00564DA9">
        <w:rPr>
          <w:rFonts w:ascii="Calibri" w:hAnsi="Calibri" w:cs="Times New Roman"/>
          <w:sz w:val="20"/>
          <w:szCs w:val="20"/>
        </w:rPr>
        <w:t>. .</w:t>
      </w:r>
      <w:proofErr w:type="gramEnd"/>
      <w:r w:rsidRPr="00564DA9">
        <w:rPr>
          <w:rFonts w:ascii="Calibri" w:hAnsi="Calibri" w:cs="Times New Roman"/>
          <w:sz w:val="20"/>
          <w:szCs w:val="20"/>
        </w:rPr>
        <w:t xml:space="preserve"> It will also be necessary to structure the negotiation and representation process so as to minimize the transaction and bargaining costs that could prevent successful</w:t>
      </w:r>
    </w:p>
    <w:p w14:paraId="74B9CDC7" w14:textId="77777777" w:rsidR="00241535" w:rsidRPr="00564DA9" w:rsidRDefault="00241535" w:rsidP="003416E5">
      <w:pPr>
        <w:widowControl w:val="0"/>
        <w:autoSpaceDE w:val="0"/>
        <w:autoSpaceDN w:val="0"/>
        <w:adjustRightInd w:val="0"/>
        <w:ind w:left="720"/>
        <w:rPr>
          <w:rFonts w:ascii="Calibri" w:hAnsi="Calibri" w:cs="Times New Roman"/>
          <w:sz w:val="20"/>
          <w:szCs w:val="20"/>
        </w:rPr>
      </w:pPr>
      <w:proofErr w:type="gramStart"/>
      <w:r w:rsidRPr="00564DA9">
        <w:rPr>
          <w:rFonts w:ascii="Calibri" w:hAnsi="Calibri" w:cs="Times New Roman"/>
          <w:sz w:val="20"/>
          <w:szCs w:val="20"/>
        </w:rPr>
        <w:t>negotiation</w:t>
      </w:r>
      <w:proofErr w:type="gramEnd"/>
      <w:r w:rsidRPr="00564DA9">
        <w:rPr>
          <w:rFonts w:ascii="Calibri" w:hAnsi="Calibri" w:cs="Times New Roman"/>
          <w:sz w:val="20"/>
          <w:szCs w:val="20"/>
        </w:rPr>
        <w:t>.</w:t>
      </w:r>
    </w:p>
    <w:p w14:paraId="1718461A" w14:textId="77777777" w:rsidR="00241535" w:rsidRPr="00564DA9" w:rsidRDefault="00241535" w:rsidP="003416E5">
      <w:pPr>
        <w:widowControl w:val="0"/>
        <w:autoSpaceDE w:val="0"/>
        <w:autoSpaceDN w:val="0"/>
        <w:adjustRightInd w:val="0"/>
        <w:rPr>
          <w:rFonts w:ascii="Calibri" w:hAnsi="Calibri" w:cs="Times New Roman"/>
          <w:sz w:val="20"/>
          <w:szCs w:val="20"/>
        </w:rPr>
      </w:pPr>
    </w:p>
    <w:p w14:paraId="19462233" w14:textId="77777777" w:rsidR="00241535" w:rsidRPr="00564DA9" w:rsidRDefault="00241535" w:rsidP="003416E5">
      <w:pPr>
        <w:widowControl w:val="0"/>
        <w:autoSpaceDE w:val="0"/>
        <w:autoSpaceDN w:val="0"/>
        <w:adjustRightInd w:val="0"/>
        <w:rPr>
          <w:rFonts w:ascii="Calibri" w:hAnsi="Calibri" w:cs="Times New Roman"/>
          <w:sz w:val="20"/>
          <w:szCs w:val="20"/>
        </w:rPr>
      </w:pPr>
      <w:r w:rsidRPr="00564DA9">
        <w:rPr>
          <w:rFonts w:ascii="Calibri" w:hAnsi="Calibri" w:cs="Times New Roman"/>
          <w:sz w:val="20"/>
          <w:szCs w:val="20"/>
        </w:rPr>
        <w:t>Id. at 61-62.</w:t>
      </w:r>
    </w:p>
    <w:p w14:paraId="329AAE55" w14:textId="77777777" w:rsidR="00241535" w:rsidRPr="00564DA9" w:rsidRDefault="00241535" w:rsidP="003416E5">
      <w:pPr>
        <w:pStyle w:val="FootnoteText"/>
        <w:rPr>
          <w:rFonts w:ascii="Calibri" w:hAnsi="Calibri"/>
          <w:szCs w:val="20"/>
        </w:rPr>
      </w:pPr>
    </w:p>
  </w:footnote>
  <w:footnote w:id="19">
    <w:p w14:paraId="731EC85F" w14:textId="45DAF1D2" w:rsidR="00241535" w:rsidRDefault="00241535" w:rsidP="003416E5">
      <w:pPr>
        <w:pStyle w:val="FootnoteText"/>
      </w:pPr>
      <w:r>
        <w:rPr>
          <w:rStyle w:val="FootnoteReference"/>
        </w:rPr>
        <w:footnoteRef/>
      </w:r>
      <w:r>
        <w:t xml:space="preserve"> U.S. EPA, </w:t>
      </w:r>
      <w:r w:rsidRPr="00732DD9">
        <w:rPr>
          <w:i/>
        </w:rPr>
        <w:t>Negotiated Rulemaking Fact Sheet</w:t>
      </w:r>
      <w:r>
        <w:t xml:space="preserve">; </w:t>
      </w:r>
      <w:r>
        <w:rPr>
          <w:i/>
        </w:rPr>
        <w:t xml:space="preserve">see also </w:t>
      </w:r>
      <w:r>
        <w:t xml:space="preserve">Administrative Conference of the U.S., </w:t>
      </w:r>
      <w:r>
        <w:rPr>
          <w:i/>
        </w:rPr>
        <w:t xml:space="preserve">Negotiated Rulemaking Sourcebook </w:t>
      </w:r>
      <w:r>
        <w:t xml:space="preserve">(1995). In reg-neg, the group functions as a federally chartered advisory committee.  We recognize that the White Paper </w:t>
      </w:r>
      <w:r w:rsidRPr="00732DD9">
        <w:rPr>
          <w:i/>
        </w:rPr>
        <w:t>does not</w:t>
      </w:r>
      <w:r>
        <w:t xml:space="preserve"> envision the formation of advisory committees under FACA nor are we suggesting that it should. Despite this important difference, we believe that the MSH process has much to learn from negotiated rulemaking and other forms of environmental covenanting. </w:t>
      </w:r>
    </w:p>
    <w:p w14:paraId="7EF9C803" w14:textId="77777777" w:rsidR="00241535" w:rsidRPr="001B4EA8" w:rsidRDefault="00241535" w:rsidP="003416E5">
      <w:pPr>
        <w:pStyle w:val="FootnoteText"/>
      </w:pPr>
    </w:p>
  </w:footnote>
  <w:footnote w:id="20">
    <w:p w14:paraId="4F7B23AF" w14:textId="77777777" w:rsidR="00241535" w:rsidRPr="00174D8F" w:rsidRDefault="00241535" w:rsidP="003416E5">
      <w:pPr>
        <w:pStyle w:val="FootnoteText"/>
      </w:pPr>
      <w:r>
        <w:rPr>
          <w:rStyle w:val="FootnoteReference"/>
        </w:rPr>
        <w:footnoteRef/>
      </w:r>
      <w:r>
        <w:t xml:space="preserve"> For a description of negotiated rulemaking, </w:t>
      </w:r>
      <w:r>
        <w:rPr>
          <w:i/>
        </w:rPr>
        <w:t xml:space="preserve">see generally </w:t>
      </w:r>
      <w:r>
        <w:t xml:space="preserve">Philip J. Harter, </w:t>
      </w:r>
      <w:r>
        <w:rPr>
          <w:i/>
        </w:rPr>
        <w:t xml:space="preserve">Negotiating Regulations: </w:t>
      </w:r>
      <w:r>
        <w:rPr>
          <w:i/>
        </w:rPr>
        <w:br/>
        <w:t>A Cure for the Malaise</w:t>
      </w:r>
      <w:r>
        <w:t xml:space="preserve">, </w:t>
      </w:r>
      <w:proofErr w:type="gramStart"/>
      <w:r>
        <w:t>71</w:t>
      </w:r>
      <w:proofErr w:type="gramEnd"/>
      <w:r>
        <w:t xml:space="preserve"> </w:t>
      </w:r>
      <w:r w:rsidRPr="00AE18A7">
        <w:rPr>
          <w:smallCaps/>
        </w:rPr>
        <w:t>Georgetown L.</w:t>
      </w:r>
      <w:r>
        <w:rPr>
          <w:smallCaps/>
        </w:rPr>
        <w:t xml:space="preserve"> </w:t>
      </w:r>
      <w:r w:rsidRPr="00AE18A7">
        <w:rPr>
          <w:smallCaps/>
        </w:rPr>
        <w:t xml:space="preserve"> J.</w:t>
      </w:r>
      <w:r>
        <w:t xml:space="preserve"> 1 (1982); Rubinstein, </w:t>
      </w:r>
      <w:r>
        <w:rPr>
          <w:i/>
        </w:rPr>
        <w:t>Privacy and Regulation Innovation, supra</w:t>
      </w:r>
      <w:r>
        <w:t xml:space="preserve"> (describing this approach and explaining how it could be applied in the context of information privacy); Administrative Conference of the U.S., </w:t>
      </w:r>
      <w:r>
        <w:rPr>
          <w:i/>
        </w:rPr>
        <w:t>Negotiated Rulemaking Sourcebook, supra</w:t>
      </w:r>
      <w:r>
        <w:t xml:space="preserve"> (detailed description).</w:t>
      </w:r>
    </w:p>
    <w:p w14:paraId="4214CF82" w14:textId="77777777" w:rsidR="00241535" w:rsidRPr="00752306" w:rsidRDefault="00241535" w:rsidP="003416E5">
      <w:pPr>
        <w:pStyle w:val="FootnoteText"/>
      </w:pPr>
    </w:p>
  </w:footnote>
  <w:footnote w:id="21">
    <w:p w14:paraId="33698D63" w14:textId="77777777" w:rsidR="00241535" w:rsidRDefault="00241535" w:rsidP="003416E5">
      <w:pPr>
        <w:pStyle w:val="FootnoteText"/>
        <w:rPr>
          <w:i/>
        </w:rPr>
      </w:pPr>
      <w:r>
        <w:rPr>
          <w:rStyle w:val="FootnoteReference"/>
        </w:rPr>
        <w:footnoteRef/>
      </w:r>
      <w:r>
        <w:t xml:space="preserve"> </w:t>
      </w:r>
      <w:r>
        <w:rPr>
          <w:rFonts w:ascii="Calibri" w:hAnsi="Calibri" w:cs="Times New Roman"/>
        </w:rPr>
        <w:t xml:space="preserve">If nothing else, the mechanics of reg-neg should prove instructive.  </w:t>
      </w:r>
      <w:r>
        <w:t xml:space="preserve">For a detailed description of these mechanics, see Administrative Conference of the U.S., </w:t>
      </w:r>
      <w:r>
        <w:rPr>
          <w:i/>
        </w:rPr>
        <w:t xml:space="preserve">Negotiated Rulemaking Sourcebook </w:t>
      </w:r>
      <w:r>
        <w:t xml:space="preserve">(1995); for a useful summary, see Rubinstein, </w:t>
      </w:r>
      <w:r>
        <w:rPr>
          <w:i/>
        </w:rPr>
        <w:t>Privacy and Regulatory Innovation, supra.</w:t>
      </w:r>
    </w:p>
    <w:p w14:paraId="7361DCAA" w14:textId="77777777" w:rsidR="00241535" w:rsidRPr="00020983" w:rsidRDefault="00241535" w:rsidP="003416E5">
      <w:pPr>
        <w:pStyle w:val="FootnoteText"/>
        <w:rPr>
          <w:i/>
        </w:rPr>
      </w:pPr>
    </w:p>
  </w:footnote>
  <w:footnote w:id="22">
    <w:p w14:paraId="0C5B4D76" w14:textId="7B7BE8DE" w:rsidR="00241535" w:rsidRDefault="00241535" w:rsidP="003416E5">
      <w:pPr>
        <w:pStyle w:val="FootnoteText"/>
      </w:pPr>
      <w:r>
        <w:rPr>
          <w:rStyle w:val="FootnoteReference"/>
        </w:rPr>
        <w:footnoteRef/>
      </w:r>
      <w:r>
        <w:t xml:space="preserve"> NTIA, Request for Comments (March 5, 2012), 77 Fed. </w:t>
      </w:r>
      <w:proofErr w:type="gramStart"/>
      <w:r>
        <w:t>Reg. 13098, 13099-13100 (March 5, 2012).</w:t>
      </w:r>
      <w:proofErr w:type="gramEnd"/>
    </w:p>
    <w:p w14:paraId="25B76A55" w14:textId="77777777" w:rsidR="00241535" w:rsidRDefault="00241535" w:rsidP="003416E5">
      <w:pPr>
        <w:pStyle w:val="FootnoteText"/>
      </w:pPr>
    </w:p>
  </w:footnote>
  <w:footnote w:id="23">
    <w:p w14:paraId="0876F6C7" w14:textId="77777777" w:rsidR="00241535" w:rsidRDefault="00241535" w:rsidP="003416E5">
      <w:pPr>
        <w:pStyle w:val="FootnoteText"/>
      </w:pPr>
      <w:r>
        <w:rPr>
          <w:rStyle w:val="FootnoteReference"/>
        </w:rPr>
        <w:footnoteRef/>
      </w:r>
      <w:r>
        <w:t xml:space="preserve"> </w:t>
      </w:r>
      <w:proofErr w:type="gramStart"/>
      <w:r>
        <w:t xml:space="preserve">Harter, </w:t>
      </w:r>
      <w:r>
        <w:rPr>
          <w:i/>
        </w:rPr>
        <w:t>Negotiating Regulations</w:t>
      </w:r>
      <w:r>
        <w:t>, 71</w:t>
      </w:r>
      <w:r w:rsidRPr="00AE18A7">
        <w:rPr>
          <w:smallCaps/>
        </w:rPr>
        <w:t xml:space="preserve"> Georgetown L.</w:t>
      </w:r>
      <w:proofErr w:type="gramEnd"/>
      <w:r>
        <w:rPr>
          <w:smallCaps/>
        </w:rPr>
        <w:t xml:space="preserve"> </w:t>
      </w:r>
      <w:r w:rsidRPr="00AE18A7">
        <w:rPr>
          <w:smallCaps/>
        </w:rPr>
        <w:t xml:space="preserve"> J.</w:t>
      </w:r>
      <w:r>
        <w:t xml:space="preserve"> </w:t>
      </w:r>
      <w:proofErr w:type="gramStart"/>
      <w:r>
        <w:t>at</w:t>
      </w:r>
      <w:proofErr w:type="gramEnd"/>
      <w:r>
        <w:t xml:space="preserve"> 45-52.  </w:t>
      </w:r>
    </w:p>
    <w:p w14:paraId="56E5F719" w14:textId="77777777" w:rsidR="00241535" w:rsidRPr="008A2A14" w:rsidRDefault="00241535" w:rsidP="003416E5">
      <w:pPr>
        <w:pStyle w:val="FootnoteText"/>
      </w:pPr>
    </w:p>
  </w:footnote>
  <w:footnote w:id="24">
    <w:p w14:paraId="4F456CDF" w14:textId="77777777" w:rsidR="00241535" w:rsidRPr="00A82798" w:rsidRDefault="00241535" w:rsidP="003416E5">
      <w:pPr>
        <w:pStyle w:val="FootnoteText"/>
        <w:rPr>
          <w:i/>
        </w:rPr>
      </w:pPr>
      <w:r>
        <w:rPr>
          <w:rStyle w:val="FootnoteReference"/>
        </w:rPr>
        <w:footnoteRef/>
      </w:r>
      <w:r>
        <w:t xml:space="preserve"> For a full list, see </w:t>
      </w:r>
      <w:r>
        <w:rPr>
          <w:i/>
        </w:rPr>
        <w:t>id.</w:t>
      </w:r>
    </w:p>
  </w:footnote>
  <w:footnote w:id="25">
    <w:p w14:paraId="356E8B57" w14:textId="77777777" w:rsidR="00241535" w:rsidRDefault="00241535" w:rsidP="003416E5">
      <w:pPr>
        <w:pStyle w:val="FootnoteText"/>
      </w:pPr>
      <w:r>
        <w:rPr>
          <w:rStyle w:val="FootnoteReference"/>
        </w:rPr>
        <w:footnoteRef/>
      </w:r>
      <w:r>
        <w:t xml:space="preserve"> </w:t>
      </w:r>
      <w:r>
        <w:rPr>
          <w:i/>
        </w:rPr>
        <w:t xml:space="preserve">See generally, </w:t>
      </w:r>
      <w:r>
        <w:t xml:space="preserve">Kerr, Greiner, Anderson &amp; April, Inc., </w:t>
      </w:r>
      <w:r>
        <w:rPr>
          <w:i/>
        </w:rPr>
        <w:t>Analysis and Evaluation of the EPA Common Sense Initiative</w:t>
      </w:r>
      <w:r>
        <w:t xml:space="preserve"> (July 29, 1999) (study funded by US EPA); Cary Coglianese &amp; Laurie K. Allen</w:t>
      </w:r>
      <w:r>
        <w:rPr>
          <w:i/>
        </w:rPr>
        <w:t>, Building Sector-Based Consensus: A Review of EPA’s Common Sense Initiative</w:t>
      </w:r>
      <w:r>
        <w:t xml:space="preserve"> (2003), Scholarship at Penn Law, Paper 107.</w:t>
      </w:r>
    </w:p>
    <w:p w14:paraId="6CE46AC2" w14:textId="77777777" w:rsidR="00241535" w:rsidRPr="00E56EDE" w:rsidRDefault="00241535" w:rsidP="003416E5">
      <w:pPr>
        <w:pStyle w:val="FootnoteText"/>
      </w:pPr>
    </w:p>
  </w:footnote>
  <w:footnote w:id="26">
    <w:p w14:paraId="11E092BC" w14:textId="77777777" w:rsidR="00241535" w:rsidRDefault="00241535" w:rsidP="003416E5">
      <w:pPr>
        <w:pStyle w:val="FootnoteText"/>
      </w:pPr>
      <w:r>
        <w:rPr>
          <w:rStyle w:val="FootnoteReference"/>
        </w:rPr>
        <w:footnoteRef/>
      </w:r>
      <w:r>
        <w:t xml:space="preserve"> </w:t>
      </w:r>
      <w:proofErr w:type="gramStart"/>
      <w:r>
        <w:t xml:space="preserve">Coglianese &amp; Allen, </w:t>
      </w:r>
      <w:r>
        <w:rPr>
          <w:i/>
        </w:rPr>
        <w:t>supra,</w:t>
      </w:r>
      <w:r>
        <w:t xml:space="preserve"> at 3.</w:t>
      </w:r>
      <w:proofErr w:type="gramEnd"/>
    </w:p>
    <w:p w14:paraId="6F69EC51" w14:textId="77777777" w:rsidR="00241535" w:rsidRPr="00E56EDE" w:rsidRDefault="00241535" w:rsidP="003416E5">
      <w:pPr>
        <w:pStyle w:val="FootnoteText"/>
      </w:pPr>
    </w:p>
  </w:footnote>
  <w:footnote w:id="27">
    <w:p w14:paraId="4D9BDE34" w14:textId="77777777" w:rsidR="00241535" w:rsidRDefault="00241535" w:rsidP="003416E5">
      <w:pPr>
        <w:pStyle w:val="FootnoteText"/>
      </w:pPr>
      <w:r>
        <w:rPr>
          <w:rStyle w:val="FootnoteReference"/>
        </w:rPr>
        <w:footnoteRef/>
      </w:r>
      <w:r>
        <w:t xml:space="preserve"> </w:t>
      </w:r>
      <w:r>
        <w:rPr>
          <w:i/>
        </w:rPr>
        <w:t xml:space="preserve">Id., </w:t>
      </w:r>
      <w:r>
        <w:t>at 7 (“Taken together, these reviews suggest that CSI was generally tall on ambition but short on meaningful and measurable accomplishment”).</w:t>
      </w:r>
    </w:p>
    <w:p w14:paraId="6FA8579D" w14:textId="77777777" w:rsidR="00241535" w:rsidRPr="00BB1636" w:rsidRDefault="00241535" w:rsidP="003416E5">
      <w:pPr>
        <w:pStyle w:val="FootnoteText"/>
      </w:pPr>
    </w:p>
  </w:footnote>
  <w:footnote w:id="28">
    <w:p w14:paraId="2836235D" w14:textId="77777777" w:rsidR="00241535" w:rsidRDefault="00241535" w:rsidP="003416E5">
      <w:pPr>
        <w:pStyle w:val="FootnoteText"/>
      </w:pPr>
      <w:r>
        <w:rPr>
          <w:rStyle w:val="FootnoteReference"/>
        </w:rPr>
        <w:footnoteRef/>
      </w:r>
      <w:r>
        <w:t xml:space="preserve"> </w:t>
      </w:r>
      <w:proofErr w:type="gramStart"/>
      <w:r>
        <w:rPr>
          <w:i/>
        </w:rPr>
        <w:t xml:space="preserve">Id., </w:t>
      </w:r>
      <w:r>
        <w:t>at 8.</w:t>
      </w:r>
      <w:proofErr w:type="gramEnd"/>
      <w:r>
        <w:t xml:space="preserve">  </w:t>
      </w:r>
    </w:p>
    <w:p w14:paraId="3FF76E0B" w14:textId="77777777" w:rsidR="00241535" w:rsidRPr="001504C6" w:rsidRDefault="00241535" w:rsidP="003416E5">
      <w:pPr>
        <w:pStyle w:val="FootnoteText"/>
      </w:pPr>
    </w:p>
  </w:footnote>
  <w:footnote w:id="29">
    <w:p w14:paraId="12456BDF" w14:textId="77777777" w:rsidR="00241535" w:rsidRDefault="00241535" w:rsidP="003416E5">
      <w:pPr>
        <w:pStyle w:val="FootnoteText"/>
        <w:rPr>
          <w:i/>
        </w:rPr>
      </w:pPr>
      <w:r>
        <w:rPr>
          <w:rStyle w:val="FootnoteReference"/>
        </w:rPr>
        <w:footnoteRef/>
      </w:r>
      <w:r>
        <w:t xml:space="preserve"> </w:t>
      </w:r>
      <w:r>
        <w:rPr>
          <w:i/>
        </w:rPr>
        <w:t>Id.</w:t>
      </w:r>
    </w:p>
    <w:p w14:paraId="0C48159E" w14:textId="77777777" w:rsidR="00241535" w:rsidRPr="00E30A20" w:rsidRDefault="00241535" w:rsidP="003416E5">
      <w:pPr>
        <w:pStyle w:val="FootnoteText"/>
        <w:rPr>
          <w:i/>
        </w:rPr>
      </w:pPr>
    </w:p>
  </w:footnote>
  <w:footnote w:id="30">
    <w:p w14:paraId="44720C70" w14:textId="77777777" w:rsidR="00241535" w:rsidRDefault="00241535" w:rsidP="003416E5">
      <w:pPr>
        <w:pStyle w:val="FootnoteText"/>
      </w:pPr>
      <w:r>
        <w:rPr>
          <w:rStyle w:val="FootnoteReference"/>
        </w:rPr>
        <w:footnoteRef/>
      </w:r>
      <w:r>
        <w:t xml:space="preserve"> </w:t>
      </w:r>
      <w:proofErr w:type="gramStart"/>
      <w:r>
        <w:t xml:space="preserve">Kerr, et al., </w:t>
      </w:r>
      <w:r>
        <w:rPr>
          <w:i/>
        </w:rPr>
        <w:t>supra,</w:t>
      </w:r>
      <w:r>
        <w:t xml:space="preserve"> at ii.</w:t>
      </w:r>
      <w:proofErr w:type="gramEnd"/>
    </w:p>
    <w:p w14:paraId="66540DCF" w14:textId="77777777" w:rsidR="00241535" w:rsidRDefault="00241535" w:rsidP="003416E5">
      <w:pPr>
        <w:pStyle w:val="FootnoteText"/>
      </w:pPr>
    </w:p>
  </w:footnote>
  <w:footnote w:id="31">
    <w:p w14:paraId="41A2B855" w14:textId="77777777" w:rsidR="00241535" w:rsidRDefault="00241535" w:rsidP="003416E5">
      <w:pPr>
        <w:pStyle w:val="FootnoteText"/>
      </w:pPr>
      <w:r>
        <w:rPr>
          <w:rStyle w:val="FootnoteReference"/>
        </w:rPr>
        <w:footnoteRef/>
      </w:r>
      <w:r>
        <w:t xml:space="preserve"> </w:t>
      </w:r>
      <w:proofErr w:type="gramStart"/>
      <w:r>
        <w:t xml:space="preserve">Coglianese &amp; Allen, </w:t>
      </w:r>
      <w:r>
        <w:rPr>
          <w:i/>
        </w:rPr>
        <w:t>supra,</w:t>
      </w:r>
      <w:r>
        <w:t xml:space="preserve"> at 11.</w:t>
      </w:r>
      <w:proofErr w:type="gramEnd"/>
    </w:p>
    <w:p w14:paraId="1A867191" w14:textId="77777777" w:rsidR="00241535" w:rsidRPr="00C127C9" w:rsidRDefault="00241535" w:rsidP="003416E5">
      <w:pPr>
        <w:pStyle w:val="FootnoteText"/>
      </w:pPr>
    </w:p>
  </w:footnote>
  <w:footnote w:id="32">
    <w:p w14:paraId="32BF959A" w14:textId="77777777" w:rsidR="00241535" w:rsidRDefault="00241535" w:rsidP="003416E5">
      <w:pPr>
        <w:pStyle w:val="FootnoteText"/>
      </w:pPr>
      <w:r>
        <w:rPr>
          <w:rStyle w:val="FootnoteReference"/>
        </w:rPr>
        <w:footnoteRef/>
      </w:r>
      <w:r>
        <w:t xml:space="preserve"> </w:t>
      </w:r>
      <w:proofErr w:type="gramStart"/>
      <w:r>
        <w:rPr>
          <w:i/>
        </w:rPr>
        <w:t xml:space="preserve">Id. </w:t>
      </w:r>
      <w:r>
        <w:t>at 12.</w:t>
      </w:r>
      <w:proofErr w:type="gramEnd"/>
    </w:p>
    <w:p w14:paraId="7ADB0B2F" w14:textId="77777777" w:rsidR="00241535" w:rsidRPr="00C127C9" w:rsidRDefault="00241535" w:rsidP="003416E5">
      <w:pPr>
        <w:pStyle w:val="FootnoteText"/>
      </w:pPr>
    </w:p>
  </w:footnote>
  <w:footnote w:id="33">
    <w:p w14:paraId="40490CE6" w14:textId="77777777" w:rsidR="00241535" w:rsidRDefault="00241535" w:rsidP="003416E5">
      <w:pPr>
        <w:pStyle w:val="FootnoteText"/>
      </w:pPr>
      <w:r>
        <w:rPr>
          <w:rStyle w:val="FootnoteReference"/>
        </w:rPr>
        <w:footnoteRef/>
      </w:r>
      <w:r>
        <w:t xml:space="preserve"> </w:t>
      </w:r>
      <w:proofErr w:type="gramStart"/>
      <w:r>
        <w:t xml:space="preserve">Kerr, et al., </w:t>
      </w:r>
      <w:r>
        <w:rPr>
          <w:i/>
        </w:rPr>
        <w:t>supra,</w:t>
      </w:r>
      <w:r>
        <w:t xml:space="preserve"> at 42.</w:t>
      </w:r>
      <w:proofErr w:type="gramEnd"/>
    </w:p>
    <w:p w14:paraId="4D80B316" w14:textId="77777777" w:rsidR="00241535" w:rsidRDefault="00241535" w:rsidP="003416E5">
      <w:pPr>
        <w:pStyle w:val="FootnoteText"/>
      </w:pPr>
    </w:p>
  </w:footnote>
  <w:footnote w:id="34">
    <w:p w14:paraId="5D634388" w14:textId="77777777" w:rsidR="00241535" w:rsidRDefault="00241535" w:rsidP="003416E5">
      <w:pPr>
        <w:pStyle w:val="FootnoteText"/>
      </w:pPr>
      <w:r>
        <w:rPr>
          <w:rStyle w:val="FootnoteReference"/>
        </w:rPr>
        <w:footnoteRef/>
      </w:r>
      <w:r>
        <w:t xml:space="preserve"> </w:t>
      </w:r>
      <w:r>
        <w:rPr>
          <w:i/>
        </w:rPr>
        <w:t xml:space="preserve">Id., </w:t>
      </w:r>
      <w:r>
        <w:t>at 37-38.</w:t>
      </w:r>
    </w:p>
    <w:p w14:paraId="4422B1DD" w14:textId="77777777" w:rsidR="00241535" w:rsidRPr="00261AC1" w:rsidRDefault="00241535" w:rsidP="003416E5">
      <w:pPr>
        <w:pStyle w:val="FootnoteText"/>
      </w:pPr>
    </w:p>
  </w:footnote>
  <w:footnote w:id="35">
    <w:p w14:paraId="020E55FD" w14:textId="77777777" w:rsidR="00241535" w:rsidRDefault="00241535" w:rsidP="003416E5">
      <w:pPr>
        <w:pStyle w:val="FootnoteText"/>
      </w:pPr>
      <w:r>
        <w:rPr>
          <w:rStyle w:val="FootnoteReference"/>
        </w:rPr>
        <w:footnoteRef/>
      </w:r>
      <w:r>
        <w:t xml:space="preserve"> </w:t>
      </w:r>
      <w:proofErr w:type="gramStart"/>
      <w:r>
        <w:rPr>
          <w:i/>
        </w:rPr>
        <w:t>Id.</w:t>
      </w:r>
      <w:r>
        <w:t>, at 43.</w:t>
      </w:r>
      <w:proofErr w:type="gramEnd"/>
    </w:p>
    <w:p w14:paraId="7B057132" w14:textId="77777777" w:rsidR="00241535" w:rsidRPr="008A07EA" w:rsidRDefault="00241535" w:rsidP="003416E5">
      <w:pPr>
        <w:pStyle w:val="FootnoteText"/>
      </w:pPr>
    </w:p>
  </w:footnote>
  <w:footnote w:id="36">
    <w:p w14:paraId="1AD48467" w14:textId="77777777" w:rsidR="00241535" w:rsidRDefault="00241535" w:rsidP="003416E5">
      <w:pPr>
        <w:pStyle w:val="FootnoteText"/>
      </w:pPr>
      <w:r>
        <w:rPr>
          <w:rStyle w:val="FootnoteReference"/>
        </w:rPr>
        <w:footnoteRef/>
      </w:r>
      <w:r>
        <w:t xml:space="preserve"> </w:t>
      </w:r>
      <w:proofErr w:type="gramStart"/>
      <w:r>
        <w:rPr>
          <w:i/>
        </w:rPr>
        <w:t xml:space="preserve">Id., </w:t>
      </w:r>
      <w:r>
        <w:t>at 44.</w:t>
      </w:r>
      <w:proofErr w:type="gramEnd"/>
    </w:p>
    <w:p w14:paraId="65E829EC" w14:textId="77777777" w:rsidR="00241535" w:rsidRPr="008A07EA" w:rsidRDefault="00241535" w:rsidP="003416E5">
      <w:pPr>
        <w:pStyle w:val="FootnoteText"/>
      </w:pPr>
    </w:p>
  </w:footnote>
  <w:footnote w:id="37">
    <w:p w14:paraId="169D4004" w14:textId="5BA175D9" w:rsidR="00241535" w:rsidRDefault="00241535" w:rsidP="003416E5">
      <w:pPr>
        <w:pStyle w:val="FootnoteText"/>
      </w:pPr>
      <w:r>
        <w:rPr>
          <w:rStyle w:val="FootnoteReference"/>
        </w:rPr>
        <w:footnoteRef/>
      </w:r>
      <w:r>
        <w:t xml:space="preserve"> NTIA, Request for Comments, 77 Fed. Reg.  </w:t>
      </w:r>
      <w:proofErr w:type="gramStart"/>
      <w:r>
        <w:t>at 13100.</w:t>
      </w:r>
      <w:proofErr w:type="gramEnd"/>
    </w:p>
    <w:p w14:paraId="29ADA7E8" w14:textId="77777777" w:rsidR="00241535" w:rsidRDefault="00241535" w:rsidP="003416E5">
      <w:pPr>
        <w:pStyle w:val="FootnoteText"/>
      </w:pPr>
    </w:p>
  </w:footnote>
  <w:footnote w:id="38">
    <w:p w14:paraId="060F2994" w14:textId="77777777" w:rsidR="00241535" w:rsidRDefault="00241535" w:rsidP="003416E5">
      <w:pPr>
        <w:pStyle w:val="FootnoteText"/>
      </w:pPr>
      <w:r>
        <w:rPr>
          <w:rStyle w:val="FootnoteReference"/>
        </w:rPr>
        <w:footnoteRef/>
      </w:r>
      <w:r>
        <w:t xml:space="preserve"> </w:t>
      </w:r>
      <w:proofErr w:type="gramStart"/>
      <w:r>
        <w:t xml:space="preserve">Kerr, et al., </w:t>
      </w:r>
      <w:r>
        <w:rPr>
          <w:i/>
        </w:rPr>
        <w:t>supra,</w:t>
      </w:r>
      <w:r>
        <w:t xml:space="preserve"> at 44.</w:t>
      </w:r>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7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1235AC1"/>
    <w:multiLevelType w:val="hybridMultilevel"/>
    <w:tmpl w:val="09845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376AA"/>
    <w:multiLevelType w:val="hybridMultilevel"/>
    <w:tmpl w:val="3B3E3588"/>
    <w:lvl w:ilvl="0" w:tplc="19E0F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3D4920"/>
    <w:multiLevelType w:val="hybridMultilevel"/>
    <w:tmpl w:val="1A6E7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9662C"/>
    <w:multiLevelType w:val="hybridMultilevel"/>
    <w:tmpl w:val="F6C0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F4D1B"/>
    <w:multiLevelType w:val="hybridMultilevel"/>
    <w:tmpl w:val="A44C8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FD4607"/>
    <w:multiLevelType w:val="hybridMultilevel"/>
    <w:tmpl w:val="94AC34A2"/>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nsid w:val="563B4B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ABB0BBA"/>
    <w:multiLevelType w:val="hybridMultilevel"/>
    <w:tmpl w:val="2216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F376DF"/>
    <w:multiLevelType w:val="hybridMultilevel"/>
    <w:tmpl w:val="14D6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C9123A"/>
    <w:multiLevelType w:val="hybridMultilevel"/>
    <w:tmpl w:val="A9107820"/>
    <w:lvl w:ilvl="0" w:tplc="197C045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D812179"/>
    <w:multiLevelType w:val="hybridMultilevel"/>
    <w:tmpl w:val="9C807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4"/>
  </w:num>
  <w:num w:numId="5">
    <w:abstractNumId w:val="0"/>
  </w:num>
  <w:num w:numId="6">
    <w:abstractNumId w:val="1"/>
  </w:num>
  <w:num w:numId="7">
    <w:abstractNumId w:val="11"/>
  </w:num>
  <w:num w:numId="8">
    <w:abstractNumId w:val="3"/>
  </w:num>
  <w:num w:numId="9">
    <w:abstractNumId w:val="8"/>
  </w:num>
  <w:num w:numId="10">
    <w:abstractNumId w:val="9"/>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B59"/>
    <w:rsid w:val="000012AB"/>
    <w:rsid w:val="000043A5"/>
    <w:rsid w:val="00020983"/>
    <w:rsid w:val="00023C5A"/>
    <w:rsid w:val="0004235D"/>
    <w:rsid w:val="00056417"/>
    <w:rsid w:val="000644F7"/>
    <w:rsid w:val="000846A1"/>
    <w:rsid w:val="00085655"/>
    <w:rsid w:val="000C70DD"/>
    <w:rsid w:val="000D1101"/>
    <w:rsid w:val="000D3AE0"/>
    <w:rsid w:val="000D7342"/>
    <w:rsid w:val="000D7B5D"/>
    <w:rsid w:val="000D7F41"/>
    <w:rsid w:val="00103BC6"/>
    <w:rsid w:val="00110F59"/>
    <w:rsid w:val="0011568D"/>
    <w:rsid w:val="00116279"/>
    <w:rsid w:val="00124495"/>
    <w:rsid w:val="00133E9E"/>
    <w:rsid w:val="001504C6"/>
    <w:rsid w:val="001562F4"/>
    <w:rsid w:val="001609E8"/>
    <w:rsid w:val="00166700"/>
    <w:rsid w:val="00174D8F"/>
    <w:rsid w:val="00191EF3"/>
    <w:rsid w:val="0019463F"/>
    <w:rsid w:val="001B4EA8"/>
    <w:rsid w:val="001D705D"/>
    <w:rsid w:val="001F10BD"/>
    <w:rsid w:val="002000B5"/>
    <w:rsid w:val="0020202A"/>
    <w:rsid w:val="00204AED"/>
    <w:rsid w:val="0021288B"/>
    <w:rsid w:val="00216346"/>
    <w:rsid w:val="00216B59"/>
    <w:rsid w:val="00227D06"/>
    <w:rsid w:val="00232160"/>
    <w:rsid w:val="0023328A"/>
    <w:rsid w:val="002339F5"/>
    <w:rsid w:val="00241535"/>
    <w:rsid w:val="0025221A"/>
    <w:rsid w:val="00261AC1"/>
    <w:rsid w:val="0026797C"/>
    <w:rsid w:val="002A0212"/>
    <w:rsid w:val="002A4E26"/>
    <w:rsid w:val="002B2D12"/>
    <w:rsid w:val="002C07F1"/>
    <w:rsid w:val="002C5DB8"/>
    <w:rsid w:val="002E7609"/>
    <w:rsid w:val="003117D2"/>
    <w:rsid w:val="00316F50"/>
    <w:rsid w:val="00322900"/>
    <w:rsid w:val="00324083"/>
    <w:rsid w:val="0032739D"/>
    <w:rsid w:val="00331AE7"/>
    <w:rsid w:val="003416E5"/>
    <w:rsid w:val="0039098A"/>
    <w:rsid w:val="003952D8"/>
    <w:rsid w:val="00397150"/>
    <w:rsid w:val="003B386B"/>
    <w:rsid w:val="003B465B"/>
    <w:rsid w:val="003B613E"/>
    <w:rsid w:val="003F71FF"/>
    <w:rsid w:val="0041613D"/>
    <w:rsid w:val="004220EB"/>
    <w:rsid w:val="0045349D"/>
    <w:rsid w:val="0046064C"/>
    <w:rsid w:val="00464BE0"/>
    <w:rsid w:val="00467413"/>
    <w:rsid w:val="004712BD"/>
    <w:rsid w:val="00477D88"/>
    <w:rsid w:val="00483F67"/>
    <w:rsid w:val="0048481C"/>
    <w:rsid w:val="004906CA"/>
    <w:rsid w:val="004914A0"/>
    <w:rsid w:val="00497CC2"/>
    <w:rsid w:val="004A6CEB"/>
    <w:rsid w:val="004B0F7C"/>
    <w:rsid w:val="004B619F"/>
    <w:rsid w:val="004E227A"/>
    <w:rsid w:val="004F299F"/>
    <w:rsid w:val="005004C0"/>
    <w:rsid w:val="00502475"/>
    <w:rsid w:val="005116F2"/>
    <w:rsid w:val="00513DE9"/>
    <w:rsid w:val="00527E3D"/>
    <w:rsid w:val="00530B46"/>
    <w:rsid w:val="00536C89"/>
    <w:rsid w:val="005370CD"/>
    <w:rsid w:val="005538A9"/>
    <w:rsid w:val="00554BD3"/>
    <w:rsid w:val="0056048E"/>
    <w:rsid w:val="00564DA9"/>
    <w:rsid w:val="005660D1"/>
    <w:rsid w:val="00576BA1"/>
    <w:rsid w:val="0058635B"/>
    <w:rsid w:val="005A211C"/>
    <w:rsid w:val="005D3C33"/>
    <w:rsid w:val="005E25E0"/>
    <w:rsid w:val="005F177B"/>
    <w:rsid w:val="005F4A95"/>
    <w:rsid w:val="00606057"/>
    <w:rsid w:val="00626420"/>
    <w:rsid w:val="0065208E"/>
    <w:rsid w:val="00660B47"/>
    <w:rsid w:val="00663FA5"/>
    <w:rsid w:val="00664523"/>
    <w:rsid w:val="00673B31"/>
    <w:rsid w:val="00692110"/>
    <w:rsid w:val="00695F10"/>
    <w:rsid w:val="006A145A"/>
    <w:rsid w:val="006C06C8"/>
    <w:rsid w:val="006C4295"/>
    <w:rsid w:val="006C5529"/>
    <w:rsid w:val="006C57CA"/>
    <w:rsid w:val="006F7540"/>
    <w:rsid w:val="00704D29"/>
    <w:rsid w:val="00732DD9"/>
    <w:rsid w:val="0074760B"/>
    <w:rsid w:val="00752306"/>
    <w:rsid w:val="007559E4"/>
    <w:rsid w:val="00764436"/>
    <w:rsid w:val="00764EC9"/>
    <w:rsid w:val="00766B4A"/>
    <w:rsid w:val="00777683"/>
    <w:rsid w:val="007777EA"/>
    <w:rsid w:val="00791AD1"/>
    <w:rsid w:val="007A75A8"/>
    <w:rsid w:val="007B1343"/>
    <w:rsid w:val="007B587B"/>
    <w:rsid w:val="007C6322"/>
    <w:rsid w:val="007C7A07"/>
    <w:rsid w:val="007D1231"/>
    <w:rsid w:val="007D52CD"/>
    <w:rsid w:val="007D61A6"/>
    <w:rsid w:val="007F1850"/>
    <w:rsid w:val="008012BD"/>
    <w:rsid w:val="00811C88"/>
    <w:rsid w:val="00826BA5"/>
    <w:rsid w:val="00835E85"/>
    <w:rsid w:val="00863A61"/>
    <w:rsid w:val="008710EE"/>
    <w:rsid w:val="00872676"/>
    <w:rsid w:val="008802BB"/>
    <w:rsid w:val="008823FB"/>
    <w:rsid w:val="008A07EA"/>
    <w:rsid w:val="008A2A14"/>
    <w:rsid w:val="008B54EB"/>
    <w:rsid w:val="008B7147"/>
    <w:rsid w:val="008D1CF3"/>
    <w:rsid w:val="008D3107"/>
    <w:rsid w:val="008D78A1"/>
    <w:rsid w:val="008E6633"/>
    <w:rsid w:val="008E7146"/>
    <w:rsid w:val="008F4FB4"/>
    <w:rsid w:val="008F7E62"/>
    <w:rsid w:val="009104CE"/>
    <w:rsid w:val="009154A4"/>
    <w:rsid w:val="00916E91"/>
    <w:rsid w:val="009210B8"/>
    <w:rsid w:val="009330C3"/>
    <w:rsid w:val="00954B66"/>
    <w:rsid w:val="00960101"/>
    <w:rsid w:val="0098310B"/>
    <w:rsid w:val="009952EA"/>
    <w:rsid w:val="009C0E3A"/>
    <w:rsid w:val="009D2F66"/>
    <w:rsid w:val="009D4F77"/>
    <w:rsid w:val="00A032F0"/>
    <w:rsid w:val="00A04360"/>
    <w:rsid w:val="00A05DDA"/>
    <w:rsid w:val="00A07D94"/>
    <w:rsid w:val="00A1240E"/>
    <w:rsid w:val="00A12661"/>
    <w:rsid w:val="00A40CD1"/>
    <w:rsid w:val="00A4338D"/>
    <w:rsid w:val="00A6122B"/>
    <w:rsid w:val="00A66E00"/>
    <w:rsid w:val="00A82798"/>
    <w:rsid w:val="00A90AD1"/>
    <w:rsid w:val="00A948C5"/>
    <w:rsid w:val="00A94FE6"/>
    <w:rsid w:val="00AA1423"/>
    <w:rsid w:val="00AA2622"/>
    <w:rsid w:val="00AA42B0"/>
    <w:rsid w:val="00AA4D29"/>
    <w:rsid w:val="00AB06FB"/>
    <w:rsid w:val="00AB194B"/>
    <w:rsid w:val="00AB3A61"/>
    <w:rsid w:val="00AC2CB4"/>
    <w:rsid w:val="00AC7086"/>
    <w:rsid w:val="00AC71E7"/>
    <w:rsid w:val="00AD4F19"/>
    <w:rsid w:val="00AE18A7"/>
    <w:rsid w:val="00AE4AA7"/>
    <w:rsid w:val="00AF1AD2"/>
    <w:rsid w:val="00AF4659"/>
    <w:rsid w:val="00B00786"/>
    <w:rsid w:val="00B045D7"/>
    <w:rsid w:val="00B26FC2"/>
    <w:rsid w:val="00B34787"/>
    <w:rsid w:val="00B44616"/>
    <w:rsid w:val="00B47982"/>
    <w:rsid w:val="00B52442"/>
    <w:rsid w:val="00B67648"/>
    <w:rsid w:val="00B85001"/>
    <w:rsid w:val="00B94AEE"/>
    <w:rsid w:val="00BA42AE"/>
    <w:rsid w:val="00BB1636"/>
    <w:rsid w:val="00BB2CA6"/>
    <w:rsid w:val="00BC42D0"/>
    <w:rsid w:val="00BD7C60"/>
    <w:rsid w:val="00C0026B"/>
    <w:rsid w:val="00C040BD"/>
    <w:rsid w:val="00C127C9"/>
    <w:rsid w:val="00C13CC6"/>
    <w:rsid w:val="00C44829"/>
    <w:rsid w:val="00C56678"/>
    <w:rsid w:val="00C60D01"/>
    <w:rsid w:val="00C64B44"/>
    <w:rsid w:val="00C77BFB"/>
    <w:rsid w:val="00C811FB"/>
    <w:rsid w:val="00C8638E"/>
    <w:rsid w:val="00CA003F"/>
    <w:rsid w:val="00CA0D80"/>
    <w:rsid w:val="00CA3D68"/>
    <w:rsid w:val="00CC7D7B"/>
    <w:rsid w:val="00CD08EE"/>
    <w:rsid w:val="00CE0E6D"/>
    <w:rsid w:val="00CE65F5"/>
    <w:rsid w:val="00CF28DC"/>
    <w:rsid w:val="00D01B23"/>
    <w:rsid w:val="00D1627D"/>
    <w:rsid w:val="00D32D5C"/>
    <w:rsid w:val="00D34F15"/>
    <w:rsid w:val="00D430C6"/>
    <w:rsid w:val="00D554D7"/>
    <w:rsid w:val="00D75EF9"/>
    <w:rsid w:val="00D850C4"/>
    <w:rsid w:val="00D8564D"/>
    <w:rsid w:val="00DA2631"/>
    <w:rsid w:val="00DB3AE1"/>
    <w:rsid w:val="00DE384B"/>
    <w:rsid w:val="00DF2BF0"/>
    <w:rsid w:val="00E0597A"/>
    <w:rsid w:val="00E30A20"/>
    <w:rsid w:val="00E37351"/>
    <w:rsid w:val="00E44613"/>
    <w:rsid w:val="00E56EDE"/>
    <w:rsid w:val="00E60A61"/>
    <w:rsid w:val="00E63911"/>
    <w:rsid w:val="00E725E0"/>
    <w:rsid w:val="00E97176"/>
    <w:rsid w:val="00EA4F84"/>
    <w:rsid w:val="00EC6BE8"/>
    <w:rsid w:val="00EC6C1D"/>
    <w:rsid w:val="00ED593F"/>
    <w:rsid w:val="00EE2E44"/>
    <w:rsid w:val="00EE38E8"/>
    <w:rsid w:val="00EF4015"/>
    <w:rsid w:val="00F07734"/>
    <w:rsid w:val="00F10227"/>
    <w:rsid w:val="00F11BE5"/>
    <w:rsid w:val="00F1338A"/>
    <w:rsid w:val="00F37F49"/>
    <w:rsid w:val="00F4511A"/>
    <w:rsid w:val="00F45122"/>
    <w:rsid w:val="00F470ED"/>
    <w:rsid w:val="00F75ED2"/>
    <w:rsid w:val="00F76962"/>
    <w:rsid w:val="00F85CDD"/>
    <w:rsid w:val="00F96FC1"/>
    <w:rsid w:val="00FB79AE"/>
    <w:rsid w:val="00FB7C89"/>
    <w:rsid w:val="00FD2D1E"/>
    <w:rsid w:val="00FE1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A6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4DA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B59"/>
    <w:pPr>
      <w:ind w:left="720"/>
      <w:contextualSpacing/>
    </w:pPr>
  </w:style>
  <w:style w:type="paragraph" w:styleId="FootnoteText">
    <w:name w:val="footnote text"/>
    <w:basedOn w:val="Normal"/>
    <w:link w:val="FootnoteTextChar"/>
    <w:unhideWhenUsed/>
    <w:rsid w:val="00331AE7"/>
    <w:rPr>
      <w:rFonts w:asciiTheme="majorHAnsi" w:hAnsiTheme="majorHAnsi"/>
      <w:sz w:val="20"/>
    </w:rPr>
  </w:style>
  <w:style w:type="character" w:customStyle="1" w:styleId="FootnoteTextChar">
    <w:name w:val="Footnote Text Char"/>
    <w:basedOn w:val="DefaultParagraphFont"/>
    <w:link w:val="FootnoteText"/>
    <w:rsid w:val="00331AE7"/>
    <w:rPr>
      <w:rFonts w:asciiTheme="majorHAnsi" w:hAnsiTheme="majorHAnsi"/>
      <w:sz w:val="20"/>
    </w:rPr>
  </w:style>
  <w:style w:type="character" w:styleId="FootnoteReference">
    <w:name w:val="footnote reference"/>
    <w:basedOn w:val="DefaultParagraphFont"/>
    <w:unhideWhenUsed/>
    <w:rsid w:val="00483F67"/>
    <w:rPr>
      <w:vertAlign w:val="superscript"/>
    </w:rPr>
  </w:style>
  <w:style w:type="paragraph" w:styleId="BalloonText">
    <w:name w:val="Balloon Text"/>
    <w:basedOn w:val="Normal"/>
    <w:link w:val="BalloonTextChar"/>
    <w:uiPriority w:val="99"/>
    <w:semiHidden/>
    <w:unhideWhenUsed/>
    <w:rsid w:val="006C57CA"/>
    <w:rPr>
      <w:rFonts w:ascii="Tahoma" w:hAnsi="Tahoma" w:cs="Tahoma"/>
      <w:sz w:val="16"/>
      <w:szCs w:val="16"/>
    </w:rPr>
  </w:style>
  <w:style w:type="character" w:customStyle="1" w:styleId="BalloonTextChar">
    <w:name w:val="Balloon Text Char"/>
    <w:basedOn w:val="DefaultParagraphFont"/>
    <w:link w:val="BalloonText"/>
    <w:uiPriority w:val="99"/>
    <w:semiHidden/>
    <w:rsid w:val="006C57CA"/>
    <w:rPr>
      <w:rFonts w:ascii="Tahoma" w:hAnsi="Tahoma" w:cs="Tahoma"/>
      <w:sz w:val="16"/>
      <w:szCs w:val="16"/>
    </w:rPr>
  </w:style>
  <w:style w:type="paragraph" w:styleId="HTMLPreformatted">
    <w:name w:val="HTML Preformatted"/>
    <w:basedOn w:val="Normal"/>
    <w:link w:val="HTMLPreformattedChar"/>
    <w:uiPriority w:val="99"/>
    <w:semiHidden/>
    <w:unhideWhenUsed/>
    <w:rsid w:val="00166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166700"/>
    <w:rPr>
      <w:rFonts w:ascii="Courier" w:hAnsi="Courier" w:cs="Courier"/>
      <w:sz w:val="20"/>
      <w:szCs w:val="20"/>
    </w:rPr>
  </w:style>
  <w:style w:type="character" w:styleId="Hyperlink">
    <w:name w:val="Hyperlink"/>
    <w:basedOn w:val="DefaultParagraphFont"/>
    <w:uiPriority w:val="99"/>
    <w:unhideWhenUsed/>
    <w:rsid w:val="00166700"/>
    <w:rPr>
      <w:color w:val="0000FF" w:themeColor="hyperlink"/>
      <w:u w:val="single"/>
    </w:rPr>
  </w:style>
  <w:style w:type="paragraph" w:styleId="NoSpacing">
    <w:name w:val="No Spacing"/>
    <w:qFormat/>
    <w:rsid w:val="00BA42AE"/>
    <w:pPr>
      <w:spacing w:line="480" w:lineRule="auto"/>
    </w:pPr>
    <w:rPr>
      <w:rFonts w:ascii="Calibri" w:eastAsia="Times New Roman" w:hAnsi="Calibri" w:cs="Times New Roman"/>
    </w:rPr>
  </w:style>
  <w:style w:type="paragraph" w:styleId="NormalWeb">
    <w:name w:val="Normal (Web)"/>
    <w:basedOn w:val="Normal"/>
    <w:uiPriority w:val="99"/>
    <w:semiHidden/>
    <w:rsid w:val="00530B46"/>
    <w:rPr>
      <w:rFonts w:ascii="Times New Roman" w:eastAsia="MS PGothic" w:hAnsi="Times New Roman" w:cs="Times New Roman"/>
      <w:lang w:eastAsia="ja-JP"/>
    </w:rPr>
  </w:style>
  <w:style w:type="paragraph" w:customStyle="1" w:styleId="Pa3">
    <w:name w:val="Pa3"/>
    <w:basedOn w:val="Normal"/>
    <w:next w:val="Normal"/>
    <w:uiPriority w:val="99"/>
    <w:rsid w:val="00F11BE5"/>
    <w:pPr>
      <w:widowControl w:val="0"/>
      <w:autoSpaceDE w:val="0"/>
      <w:autoSpaceDN w:val="0"/>
      <w:adjustRightInd w:val="0"/>
      <w:spacing w:line="221" w:lineRule="atLeast"/>
    </w:pPr>
    <w:rPr>
      <w:rFonts w:ascii="Myriad Pro" w:hAnsi="Myriad Pro" w:cs="Times New Roman"/>
    </w:rPr>
  </w:style>
  <w:style w:type="paragraph" w:styleId="Footer">
    <w:name w:val="footer"/>
    <w:basedOn w:val="Normal"/>
    <w:link w:val="FooterChar"/>
    <w:uiPriority w:val="99"/>
    <w:unhideWhenUsed/>
    <w:rsid w:val="0039098A"/>
    <w:pPr>
      <w:tabs>
        <w:tab w:val="center" w:pos="4320"/>
        <w:tab w:val="right" w:pos="8640"/>
      </w:tabs>
    </w:pPr>
  </w:style>
  <w:style w:type="character" w:customStyle="1" w:styleId="FooterChar">
    <w:name w:val="Footer Char"/>
    <w:basedOn w:val="DefaultParagraphFont"/>
    <w:link w:val="Footer"/>
    <w:uiPriority w:val="99"/>
    <w:rsid w:val="0039098A"/>
  </w:style>
  <w:style w:type="character" w:styleId="PageNumber">
    <w:name w:val="page number"/>
    <w:basedOn w:val="DefaultParagraphFont"/>
    <w:uiPriority w:val="99"/>
    <w:semiHidden/>
    <w:unhideWhenUsed/>
    <w:rsid w:val="0039098A"/>
  </w:style>
  <w:style w:type="paragraph" w:styleId="Header">
    <w:name w:val="header"/>
    <w:basedOn w:val="Normal"/>
    <w:link w:val="HeaderChar"/>
    <w:uiPriority w:val="99"/>
    <w:unhideWhenUsed/>
    <w:rsid w:val="00467413"/>
    <w:pPr>
      <w:tabs>
        <w:tab w:val="center" w:pos="4320"/>
        <w:tab w:val="right" w:pos="8640"/>
      </w:tabs>
    </w:pPr>
  </w:style>
  <w:style w:type="character" w:customStyle="1" w:styleId="HeaderChar">
    <w:name w:val="Header Char"/>
    <w:basedOn w:val="DefaultParagraphFont"/>
    <w:link w:val="Header"/>
    <w:uiPriority w:val="99"/>
    <w:rsid w:val="00467413"/>
  </w:style>
  <w:style w:type="character" w:styleId="CommentReference">
    <w:name w:val="annotation reference"/>
    <w:basedOn w:val="DefaultParagraphFont"/>
    <w:uiPriority w:val="99"/>
    <w:semiHidden/>
    <w:unhideWhenUsed/>
    <w:rsid w:val="006C4295"/>
    <w:rPr>
      <w:sz w:val="18"/>
      <w:szCs w:val="18"/>
    </w:rPr>
  </w:style>
  <w:style w:type="paragraph" w:styleId="CommentText">
    <w:name w:val="annotation text"/>
    <w:basedOn w:val="Normal"/>
    <w:link w:val="CommentTextChar"/>
    <w:uiPriority w:val="99"/>
    <w:semiHidden/>
    <w:unhideWhenUsed/>
    <w:rsid w:val="006C4295"/>
  </w:style>
  <w:style w:type="character" w:customStyle="1" w:styleId="CommentTextChar">
    <w:name w:val="Comment Text Char"/>
    <w:basedOn w:val="DefaultParagraphFont"/>
    <w:link w:val="CommentText"/>
    <w:uiPriority w:val="99"/>
    <w:semiHidden/>
    <w:rsid w:val="006C4295"/>
  </w:style>
  <w:style w:type="paragraph" w:styleId="CommentSubject">
    <w:name w:val="annotation subject"/>
    <w:basedOn w:val="CommentText"/>
    <w:next w:val="CommentText"/>
    <w:link w:val="CommentSubjectChar"/>
    <w:uiPriority w:val="99"/>
    <w:semiHidden/>
    <w:unhideWhenUsed/>
    <w:rsid w:val="006C4295"/>
    <w:rPr>
      <w:b/>
      <w:bCs/>
      <w:sz w:val="20"/>
      <w:szCs w:val="20"/>
    </w:rPr>
  </w:style>
  <w:style w:type="character" w:customStyle="1" w:styleId="CommentSubjectChar">
    <w:name w:val="Comment Subject Char"/>
    <w:basedOn w:val="CommentTextChar"/>
    <w:link w:val="CommentSubject"/>
    <w:uiPriority w:val="99"/>
    <w:semiHidden/>
    <w:rsid w:val="006C4295"/>
    <w:rPr>
      <w:b/>
      <w:bCs/>
      <w:sz w:val="20"/>
      <w:szCs w:val="20"/>
    </w:rPr>
  </w:style>
  <w:style w:type="character" w:customStyle="1" w:styleId="Heading1Char">
    <w:name w:val="Heading 1 Char"/>
    <w:basedOn w:val="DefaultParagraphFont"/>
    <w:link w:val="Heading1"/>
    <w:uiPriority w:val="9"/>
    <w:rsid w:val="00564DA9"/>
    <w:rPr>
      <w:rFonts w:ascii="Times" w:hAnsi="Times"/>
      <w:b/>
      <w:bCs/>
      <w:kern w:val="36"/>
      <w:sz w:val="48"/>
      <w:szCs w:val="48"/>
    </w:rPr>
  </w:style>
  <w:style w:type="character" w:customStyle="1" w:styleId="st">
    <w:name w:val="st"/>
    <w:basedOn w:val="DefaultParagraphFont"/>
    <w:rsid w:val="00663FA5"/>
  </w:style>
  <w:style w:type="character" w:styleId="Emphasis">
    <w:name w:val="Emphasis"/>
    <w:basedOn w:val="DefaultParagraphFont"/>
    <w:uiPriority w:val="20"/>
    <w:qFormat/>
    <w:rsid w:val="00663FA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4DA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B59"/>
    <w:pPr>
      <w:ind w:left="720"/>
      <w:contextualSpacing/>
    </w:pPr>
  </w:style>
  <w:style w:type="paragraph" w:styleId="FootnoteText">
    <w:name w:val="footnote text"/>
    <w:basedOn w:val="Normal"/>
    <w:link w:val="FootnoteTextChar"/>
    <w:unhideWhenUsed/>
    <w:rsid w:val="00331AE7"/>
    <w:rPr>
      <w:rFonts w:asciiTheme="majorHAnsi" w:hAnsiTheme="majorHAnsi"/>
      <w:sz w:val="20"/>
    </w:rPr>
  </w:style>
  <w:style w:type="character" w:customStyle="1" w:styleId="FootnoteTextChar">
    <w:name w:val="Footnote Text Char"/>
    <w:basedOn w:val="DefaultParagraphFont"/>
    <w:link w:val="FootnoteText"/>
    <w:rsid w:val="00331AE7"/>
    <w:rPr>
      <w:rFonts w:asciiTheme="majorHAnsi" w:hAnsiTheme="majorHAnsi"/>
      <w:sz w:val="20"/>
    </w:rPr>
  </w:style>
  <w:style w:type="character" w:styleId="FootnoteReference">
    <w:name w:val="footnote reference"/>
    <w:basedOn w:val="DefaultParagraphFont"/>
    <w:unhideWhenUsed/>
    <w:rsid w:val="00483F67"/>
    <w:rPr>
      <w:vertAlign w:val="superscript"/>
    </w:rPr>
  </w:style>
  <w:style w:type="paragraph" w:styleId="BalloonText">
    <w:name w:val="Balloon Text"/>
    <w:basedOn w:val="Normal"/>
    <w:link w:val="BalloonTextChar"/>
    <w:uiPriority w:val="99"/>
    <w:semiHidden/>
    <w:unhideWhenUsed/>
    <w:rsid w:val="006C57CA"/>
    <w:rPr>
      <w:rFonts w:ascii="Tahoma" w:hAnsi="Tahoma" w:cs="Tahoma"/>
      <w:sz w:val="16"/>
      <w:szCs w:val="16"/>
    </w:rPr>
  </w:style>
  <w:style w:type="character" w:customStyle="1" w:styleId="BalloonTextChar">
    <w:name w:val="Balloon Text Char"/>
    <w:basedOn w:val="DefaultParagraphFont"/>
    <w:link w:val="BalloonText"/>
    <w:uiPriority w:val="99"/>
    <w:semiHidden/>
    <w:rsid w:val="006C57CA"/>
    <w:rPr>
      <w:rFonts w:ascii="Tahoma" w:hAnsi="Tahoma" w:cs="Tahoma"/>
      <w:sz w:val="16"/>
      <w:szCs w:val="16"/>
    </w:rPr>
  </w:style>
  <w:style w:type="paragraph" w:styleId="HTMLPreformatted">
    <w:name w:val="HTML Preformatted"/>
    <w:basedOn w:val="Normal"/>
    <w:link w:val="HTMLPreformattedChar"/>
    <w:uiPriority w:val="99"/>
    <w:semiHidden/>
    <w:unhideWhenUsed/>
    <w:rsid w:val="00166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166700"/>
    <w:rPr>
      <w:rFonts w:ascii="Courier" w:hAnsi="Courier" w:cs="Courier"/>
      <w:sz w:val="20"/>
      <w:szCs w:val="20"/>
    </w:rPr>
  </w:style>
  <w:style w:type="character" w:styleId="Hyperlink">
    <w:name w:val="Hyperlink"/>
    <w:basedOn w:val="DefaultParagraphFont"/>
    <w:uiPriority w:val="99"/>
    <w:unhideWhenUsed/>
    <w:rsid w:val="00166700"/>
    <w:rPr>
      <w:color w:val="0000FF" w:themeColor="hyperlink"/>
      <w:u w:val="single"/>
    </w:rPr>
  </w:style>
  <w:style w:type="paragraph" w:styleId="NoSpacing">
    <w:name w:val="No Spacing"/>
    <w:qFormat/>
    <w:rsid w:val="00BA42AE"/>
    <w:pPr>
      <w:spacing w:line="480" w:lineRule="auto"/>
    </w:pPr>
    <w:rPr>
      <w:rFonts w:ascii="Calibri" w:eastAsia="Times New Roman" w:hAnsi="Calibri" w:cs="Times New Roman"/>
    </w:rPr>
  </w:style>
  <w:style w:type="paragraph" w:styleId="NormalWeb">
    <w:name w:val="Normal (Web)"/>
    <w:basedOn w:val="Normal"/>
    <w:uiPriority w:val="99"/>
    <w:semiHidden/>
    <w:rsid w:val="00530B46"/>
    <w:rPr>
      <w:rFonts w:ascii="Times New Roman" w:eastAsia="MS PGothic" w:hAnsi="Times New Roman" w:cs="Times New Roman"/>
      <w:lang w:eastAsia="ja-JP"/>
    </w:rPr>
  </w:style>
  <w:style w:type="paragraph" w:customStyle="1" w:styleId="Pa3">
    <w:name w:val="Pa3"/>
    <w:basedOn w:val="Normal"/>
    <w:next w:val="Normal"/>
    <w:uiPriority w:val="99"/>
    <w:rsid w:val="00F11BE5"/>
    <w:pPr>
      <w:widowControl w:val="0"/>
      <w:autoSpaceDE w:val="0"/>
      <w:autoSpaceDN w:val="0"/>
      <w:adjustRightInd w:val="0"/>
      <w:spacing w:line="221" w:lineRule="atLeast"/>
    </w:pPr>
    <w:rPr>
      <w:rFonts w:ascii="Myriad Pro" w:hAnsi="Myriad Pro" w:cs="Times New Roman"/>
    </w:rPr>
  </w:style>
  <w:style w:type="paragraph" w:styleId="Footer">
    <w:name w:val="footer"/>
    <w:basedOn w:val="Normal"/>
    <w:link w:val="FooterChar"/>
    <w:uiPriority w:val="99"/>
    <w:unhideWhenUsed/>
    <w:rsid w:val="0039098A"/>
    <w:pPr>
      <w:tabs>
        <w:tab w:val="center" w:pos="4320"/>
        <w:tab w:val="right" w:pos="8640"/>
      </w:tabs>
    </w:pPr>
  </w:style>
  <w:style w:type="character" w:customStyle="1" w:styleId="FooterChar">
    <w:name w:val="Footer Char"/>
    <w:basedOn w:val="DefaultParagraphFont"/>
    <w:link w:val="Footer"/>
    <w:uiPriority w:val="99"/>
    <w:rsid w:val="0039098A"/>
  </w:style>
  <w:style w:type="character" w:styleId="PageNumber">
    <w:name w:val="page number"/>
    <w:basedOn w:val="DefaultParagraphFont"/>
    <w:uiPriority w:val="99"/>
    <w:semiHidden/>
    <w:unhideWhenUsed/>
    <w:rsid w:val="0039098A"/>
  </w:style>
  <w:style w:type="paragraph" w:styleId="Header">
    <w:name w:val="header"/>
    <w:basedOn w:val="Normal"/>
    <w:link w:val="HeaderChar"/>
    <w:uiPriority w:val="99"/>
    <w:unhideWhenUsed/>
    <w:rsid w:val="00467413"/>
    <w:pPr>
      <w:tabs>
        <w:tab w:val="center" w:pos="4320"/>
        <w:tab w:val="right" w:pos="8640"/>
      </w:tabs>
    </w:pPr>
  </w:style>
  <w:style w:type="character" w:customStyle="1" w:styleId="HeaderChar">
    <w:name w:val="Header Char"/>
    <w:basedOn w:val="DefaultParagraphFont"/>
    <w:link w:val="Header"/>
    <w:uiPriority w:val="99"/>
    <w:rsid w:val="00467413"/>
  </w:style>
  <w:style w:type="character" w:styleId="CommentReference">
    <w:name w:val="annotation reference"/>
    <w:basedOn w:val="DefaultParagraphFont"/>
    <w:uiPriority w:val="99"/>
    <w:semiHidden/>
    <w:unhideWhenUsed/>
    <w:rsid w:val="006C4295"/>
    <w:rPr>
      <w:sz w:val="18"/>
      <w:szCs w:val="18"/>
    </w:rPr>
  </w:style>
  <w:style w:type="paragraph" w:styleId="CommentText">
    <w:name w:val="annotation text"/>
    <w:basedOn w:val="Normal"/>
    <w:link w:val="CommentTextChar"/>
    <w:uiPriority w:val="99"/>
    <w:semiHidden/>
    <w:unhideWhenUsed/>
    <w:rsid w:val="006C4295"/>
  </w:style>
  <w:style w:type="character" w:customStyle="1" w:styleId="CommentTextChar">
    <w:name w:val="Comment Text Char"/>
    <w:basedOn w:val="DefaultParagraphFont"/>
    <w:link w:val="CommentText"/>
    <w:uiPriority w:val="99"/>
    <w:semiHidden/>
    <w:rsid w:val="006C4295"/>
  </w:style>
  <w:style w:type="paragraph" w:styleId="CommentSubject">
    <w:name w:val="annotation subject"/>
    <w:basedOn w:val="CommentText"/>
    <w:next w:val="CommentText"/>
    <w:link w:val="CommentSubjectChar"/>
    <w:uiPriority w:val="99"/>
    <w:semiHidden/>
    <w:unhideWhenUsed/>
    <w:rsid w:val="006C4295"/>
    <w:rPr>
      <w:b/>
      <w:bCs/>
      <w:sz w:val="20"/>
      <w:szCs w:val="20"/>
    </w:rPr>
  </w:style>
  <w:style w:type="character" w:customStyle="1" w:styleId="CommentSubjectChar">
    <w:name w:val="Comment Subject Char"/>
    <w:basedOn w:val="CommentTextChar"/>
    <w:link w:val="CommentSubject"/>
    <w:uiPriority w:val="99"/>
    <w:semiHidden/>
    <w:rsid w:val="006C4295"/>
    <w:rPr>
      <w:b/>
      <w:bCs/>
      <w:sz w:val="20"/>
      <w:szCs w:val="20"/>
    </w:rPr>
  </w:style>
  <w:style w:type="character" w:customStyle="1" w:styleId="Heading1Char">
    <w:name w:val="Heading 1 Char"/>
    <w:basedOn w:val="DefaultParagraphFont"/>
    <w:link w:val="Heading1"/>
    <w:uiPriority w:val="9"/>
    <w:rsid w:val="00564DA9"/>
    <w:rPr>
      <w:rFonts w:ascii="Times" w:hAnsi="Times"/>
      <w:b/>
      <w:bCs/>
      <w:kern w:val="36"/>
      <w:sz w:val="48"/>
      <w:szCs w:val="48"/>
    </w:rPr>
  </w:style>
  <w:style w:type="character" w:customStyle="1" w:styleId="st">
    <w:name w:val="st"/>
    <w:basedOn w:val="DefaultParagraphFont"/>
    <w:rsid w:val="00663FA5"/>
  </w:style>
  <w:style w:type="character" w:styleId="Emphasis">
    <w:name w:val="Emphasis"/>
    <w:basedOn w:val="DefaultParagraphFont"/>
    <w:uiPriority w:val="20"/>
    <w:qFormat/>
    <w:rsid w:val="00663F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97065">
      <w:bodyDiv w:val="1"/>
      <w:marLeft w:val="0"/>
      <w:marRight w:val="0"/>
      <w:marTop w:val="0"/>
      <w:marBottom w:val="0"/>
      <w:divBdr>
        <w:top w:val="none" w:sz="0" w:space="0" w:color="auto"/>
        <w:left w:val="none" w:sz="0" w:space="0" w:color="auto"/>
        <w:bottom w:val="none" w:sz="0" w:space="0" w:color="auto"/>
        <w:right w:val="none" w:sz="0" w:space="0" w:color="auto"/>
      </w:divBdr>
    </w:div>
    <w:div w:id="814369948">
      <w:bodyDiv w:val="1"/>
      <w:marLeft w:val="0"/>
      <w:marRight w:val="0"/>
      <w:marTop w:val="0"/>
      <w:marBottom w:val="0"/>
      <w:divBdr>
        <w:top w:val="none" w:sz="0" w:space="0" w:color="auto"/>
        <w:left w:val="none" w:sz="0" w:space="0" w:color="auto"/>
        <w:bottom w:val="none" w:sz="0" w:space="0" w:color="auto"/>
        <w:right w:val="none" w:sz="0" w:space="0" w:color="auto"/>
      </w:divBdr>
    </w:div>
    <w:div w:id="1177422389">
      <w:bodyDiv w:val="1"/>
      <w:marLeft w:val="0"/>
      <w:marRight w:val="0"/>
      <w:marTop w:val="0"/>
      <w:marBottom w:val="0"/>
      <w:divBdr>
        <w:top w:val="none" w:sz="0" w:space="0" w:color="auto"/>
        <w:left w:val="none" w:sz="0" w:space="0" w:color="auto"/>
        <w:bottom w:val="none" w:sz="0" w:space="0" w:color="auto"/>
        <w:right w:val="none" w:sz="0" w:space="0" w:color="auto"/>
      </w:divBdr>
    </w:div>
    <w:div w:id="14310494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ubinstein@exchange.law.nyu.edu"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orks.bepress.com/cgi/viewcontent.cgi?article=1002&amp;context=andrew_serwin" TargetMode="External"/><Relationship Id="rId2" Type="http://schemas.openxmlformats.org/officeDocument/2006/relationships/hyperlink" Target="http://www.ietf.org/ta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70175-8227-5A41-BEF6-641927101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3970</Words>
  <Characters>22629</Characters>
  <Application>Microsoft Macintosh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Rubinstein</dc:creator>
  <cp:lastModifiedBy>Ira Rubinstein</cp:lastModifiedBy>
  <cp:revision>5</cp:revision>
  <cp:lastPrinted>2012-03-25T16:38:00Z</cp:lastPrinted>
  <dcterms:created xsi:type="dcterms:W3CDTF">2012-03-25T22:47:00Z</dcterms:created>
  <dcterms:modified xsi:type="dcterms:W3CDTF">2012-03-26T21:40:00Z</dcterms:modified>
</cp:coreProperties>
</file>